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62E19C">
      <w:pPr>
        <w:ind w:firstLine="3975" w:firstLineChars="900"/>
        <w:jc w:val="both"/>
        <w:rPr>
          <w:rFonts w:hint="eastAsia" w:ascii="宋体" w:hAnsi="宋体" w:cs="宋体"/>
          <w:b/>
          <w:bCs/>
          <w:sz w:val="44"/>
          <w:szCs w:val="44"/>
          <w:lang w:val="en-US" w:eastAsia="zh-CN"/>
        </w:rPr>
      </w:pPr>
      <w:bookmarkStart w:id="2" w:name="_GoBack"/>
      <w:r>
        <w:rPr>
          <w:rFonts w:hint="eastAsia" w:ascii="宋体" w:hAnsi="宋体" w:cs="宋体"/>
          <w:b/>
          <w:bCs/>
          <w:sz w:val="44"/>
          <w:szCs w:val="44"/>
        </w:rPr>
        <w:t>绍兴市第七人民医院</w:t>
      </w:r>
      <w:r>
        <w:rPr>
          <w:rFonts w:hint="default" w:ascii="宋体" w:hAnsi="宋体" w:cs="宋体"/>
          <w:b/>
          <w:bCs/>
          <w:sz w:val="44"/>
          <w:szCs w:val="44"/>
          <w:lang w:val="en-US"/>
        </w:rPr>
        <w:t>GCP</w:t>
      </w:r>
      <w:r>
        <w:rPr>
          <w:rFonts w:hint="eastAsia" w:ascii="宋体" w:hAnsi="宋体" w:cs="宋体"/>
          <w:b/>
          <w:bCs/>
          <w:sz w:val="44"/>
          <w:szCs w:val="44"/>
          <w:lang w:val="en-US" w:eastAsia="zh-CN"/>
        </w:rPr>
        <w:t>机构</w:t>
      </w:r>
    </w:p>
    <w:p w14:paraId="4A3A0332">
      <w:pPr>
        <w:jc w:val="center"/>
        <w:rPr>
          <w:rFonts w:hint="default" w:ascii="宋体" w:hAnsi="宋体" w:eastAsia="宋体" w:cs="宋体"/>
          <w:b/>
          <w:bCs/>
          <w:sz w:val="44"/>
          <w:szCs w:val="44"/>
          <w:lang w:val="en-US" w:eastAsia="zh-CN"/>
        </w:rPr>
      </w:pPr>
      <w:r>
        <w:rPr>
          <w:rFonts w:hint="eastAsia" w:ascii="宋体" w:hAnsi="宋体" w:cs="宋体"/>
          <w:b/>
          <w:bCs/>
          <w:sz w:val="44"/>
          <w:szCs w:val="44"/>
          <w:lang w:val="en-US" w:eastAsia="zh-CN"/>
        </w:rPr>
        <w:t>医用冷藏箱、阴凉柜</w:t>
      </w:r>
      <w:r>
        <w:rPr>
          <w:rFonts w:hint="eastAsia" w:ascii="宋体" w:hAnsi="宋体" w:cs="宋体"/>
          <w:b/>
          <w:bCs/>
          <w:sz w:val="44"/>
          <w:szCs w:val="44"/>
        </w:rPr>
        <w:t>询价</w:t>
      </w:r>
      <w:r>
        <w:rPr>
          <w:rFonts w:hint="eastAsia" w:ascii="宋体" w:hAnsi="宋体" w:cs="宋体"/>
          <w:b/>
          <w:bCs/>
          <w:sz w:val="44"/>
          <w:szCs w:val="44"/>
          <w:lang w:eastAsia="zh-CN"/>
        </w:rPr>
        <w:t>采购项目</w:t>
      </w:r>
    </w:p>
    <w:bookmarkEnd w:id="2"/>
    <w:tbl>
      <w:tblPr>
        <w:tblStyle w:val="3"/>
        <w:tblW w:w="5096" w:type="pct"/>
        <w:tblInd w:w="-171" w:type="dxa"/>
        <w:tblLayout w:type="autofit"/>
        <w:tblCellMar>
          <w:top w:w="0" w:type="dxa"/>
          <w:left w:w="108" w:type="dxa"/>
          <w:bottom w:w="0" w:type="dxa"/>
          <w:right w:w="108" w:type="dxa"/>
        </w:tblCellMar>
      </w:tblPr>
      <w:tblGrid>
        <w:gridCol w:w="1289"/>
        <w:gridCol w:w="2344"/>
        <w:gridCol w:w="2037"/>
        <w:gridCol w:w="3349"/>
        <w:gridCol w:w="5427"/>
      </w:tblGrid>
      <w:tr w14:paraId="493368B7">
        <w:tblPrEx>
          <w:tblCellMar>
            <w:top w:w="0" w:type="dxa"/>
            <w:left w:w="108" w:type="dxa"/>
            <w:bottom w:w="0" w:type="dxa"/>
            <w:right w:w="108" w:type="dxa"/>
          </w:tblCellMar>
        </w:tblPrEx>
        <w:trPr>
          <w:trHeight w:val="624" w:hRule="atLeast"/>
        </w:trPr>
        <w:tc>
          <w:tcPr>
            <w:tcW w:w="446" w:type="pct"/>
            <w:tcBorders>
              <w:top w:val="single" w:color="auto" w:sz="4" w:space="0"/>
              <w:left w:val="single" w:color="auto" w:sz="4" w:space="0"/>
              <w:bottom w:val="single" w:color="auto" w:sz="4" w:space="0"/>
              <w:right w:val="single" w:color="auto" w:sz="4" w:space="0"/>
            </w:tcBorders>
            <w:noWrap w:val="0"/>
            <w:vAlign w:val="center"/>
          </w:tcPr>
          <w:p w14:paraId="3725BE0B">
            <w:pPr>
              <w:widowControl/>
              <w:jc w:val="center"/>
              <w:rPr>
                <w:rFonts w:ascii="宋体" w:hAnsi="宋体" w:cs="宋体"/>
                <w:kern w:val="0"/>
                <w:sz w:val="24"/>
              </w:rPr>
            </w:pPr>
            <w:r>
              <w:rPr>
                <w:rFonts w:hint="eastAsia" w:ascii="宋体" w:hAnsi="宋体" w:cs="宋体"/>
                <w:kern w:val="0"/>
                <w:sz w:val="24"/>
                <w:lang w:eastAsia="zh-CN"/>
              </w:rPr>
              <w:t>分</w:t>
            </w:r>
            <w:r>
              <w:rPr>
                <w:rFonts w:hint="eastAsia" w:ascii="宋体" w:hAnsi="宋体" w:cs="宋体"/>
                <w:kern w:val="0"/>
                <w:sz w:val="24"/>
              </w:rPr>
              <w:t>项编号</w:t>
            </w:r>
          </w:p>
        </w:tc>
        <w:tc>
          <w:tcPr>
            <w:tcW w:w="811" w:type="pct"/>
            <w:tcBorders>
              <w:top w:val="single" w:color="auto" w:sz="4" w:space="0"/>
              <w:left w:val="nil"/>
              <w:bottom w:val="single" w:color="auto" w:sz="4" w:space="0"/>
              <w:right w:val="single" w:color="auto" w:sz="4" w:space="0"/>
            </w:tcBorders>
            <w:noWrap w:val="0"/>
            <w:vAlign w:val="center"/>
          </w:tcPr>
          <w:p w14:paraId="72975CAD">
            <w:pPr>
              <w:widowControl/>
              <w:jc w:val="center"/>
              <w:rPr>
                <w:rFonts w:ascii="宋体" w:hAnsi="宋体" w:cs="宋体"/>
                <w:kern w:val="0"/>
                <w:sz w:val="24"/>
              </w:rPr>
            </w:pPr>
            <w:r>
              <w:rPr>
                <w:rFonts w:hint="eastAsia" w:ascii="宋体" w:hAnsi="宋体" w:cs="宋体"/>
                <w:kern w:val="0"/>
                <w:sz w:val="24"/>
              </w:rPr>
              <w:t>项目名称</w:t>
            </w:r>
          </w:p>
        </w:tc>
        <w:tc>
          <w:tcPr>
            <w:tcW w:w="705" w:type="pct"/>
            <w:tcBorders>
              <w:top w:val="single" w:color="auto" w:sz="4" w:space="0"/>
              <w:left w:val="nil"/>
              <w:bottom w:val="single" w:color="auto" w:sz="4" w:space="0"/>
              <w:right w:val="single" w:color="auto" w:sz="4" w:space="0"/>
            </w:tcBorders>
            <w:noWrap w:val="0"/>
            <w:vAlign w:val="center"/>
          </w:tcPr>
          <w:p w14:paraId="113A22A9">
            <w:pPr>
              <w:widowControl/>
              <w:jc w:val="center"/>
              <w:rPr>
                <w:rFonts w:hint="default" w:ascii="宋体" w:hAnsi="宋体" w:cs="宋体"/>
                <w:kern w:val="0"/>
                <w:sz w:val="24"/>
                <w:lang w:val="en-US" w:eastAsia="zh-CN"/>
              </w:rPr>
            </w:pPr>
            <w:r>
              <w:rPr>
                <w:rFonts w:hint="eastAsia" w:ascii="宋体" w:hAnsi="宋体" w:cs="宋体"/>
                <w:kern w:val="0"/>
                <w:sz w:val="24"/>
                <w:lang w:val="en-US" w:eastAsia="zh-CN"/>
              </w:rPr>
              <w:t>数量</w:t>
            </w:r>
          </w:p>
        </w:tc>
        <w:tc>
          <w:tcPr>
            <w:tcW w:w="1159" w:type="pct"/>
            <w:tcBorders>
              <w:top w:val="single" w:color="auto" w:sz="4" w:space="0"/>
              <w:left w:val="nil"/>
              <w:bottom w:val="single" w:color="auto" w:sz="4" w:space="0"/>
              <w:right w:val="single" w:color="auto" w:sz="4" w:space="0"/>
            </w:tcBorders>
            <w:noWrap w:val="0"/>
            <w:vAlign w:val="center"/>
          </w:tcPr>
          <w:p w14:paraId="67A8C21A">
            <w:pPr>
              <w:widowControl/>
              <w:jc w:val="center"/>
              <w:rPr>
                <w:rFonts w:hint="eastAsia" w:ascii="宋体" w:hAnsi="宋体" w:cs="宋体"/>
                <w:kern w:val="0"/>
                <w:sz w:val="24"/>
              </w:rPr>
            </w:pPr>
            <w:r>
              <w:rPr>
                <w:rFonts w:hint="eastAsia" w:ascii="宋体" w:hAnsi="宋体" w:cs="宋体"/>
                <w:kern w:val="0"/>
                <w:sz w:val="24"/>
              </w:rPr>
              <w:t>投标上限价</w:t>
            </w:r>
          </w:p>
          <w:p w14:paraId="1BA75D1B">
            <w:pPr>
              <w:widowControl/>
              <w:jc w:val="center"/>
              <w:rPr>
                <w:rFonts w:hint="eastAsia" w:ascii="宋体" w:hAnsi="宋体" w:eastAsia="宋体" w:cs="宋体"/>
                <w:kern w:val="0"/>
                <w:sz w:val="24"/>
                <w:lang w:eastAsia="zh-CN"/>
              </w:rPr>
            </w:pPr>
            <w:r>
              <w:rPr>
                <w:rFonts w:hint="eastAsia" w:ascii="宋体" w:hAnsi="宋体" w:cs="宋体"/>
                <w:kern w:val="0"/>
                <w:sz w:val="24"/>
                <w:lang w:eastAsia="zh-CN"/>
              </w:rPr>
              <w:t>（万</w:t>
            </w:r>
            <w:r>
              <w:rPr>
                <w:rFonts w:hint="eastAsia" w:ascii="宋体" w:hAnsi="宋体" w:cs="宋体"/>
                <w:kern w:val="0"/>
                <w:sz w:val="24"/>
                <w:lang w:val="en-US" w:eastAsia="zh-CN"/>
              </w:rPr>
              <w:t>元</w:t>
            </w:r>
            <w:r>
              <w:rPr>
                <w:rFonts w:hint="eastAsia" w:ascii="宋体" w:hAnsi="宋体" w:cs="宋体"/>
                <w:kern w:val="0"/>
                <w:sz w:val="24"/>
                <w:lang w:eastAsia="zh-CN"/>
              </w:rPr>
              <w:t>）</w:t>
            </w:r>
          </w:p>
        </w:tc>
        <w:tc>
          <w:tcPr>
            <w:tcW w:w="1878" w:type="pct"/>
            <w:tcBorders>
              <w:top w:val="single" w:color="auto" w:sz="4" w:space="0"/>
              <w:left w:val="nil"/>
              <w:bottom w:val="single" w:color="auto" w:sz="4" w:space="0"/>
              <w:right w:val="single" w:color="auto" w:sz="4" w:space="0"/>
            </w:tcBorders>
            <w:noWrap w:val="0"/>
            <w:vAlign w:val="center"/>
          </w:tcPr>
          <w:p w14:paraId="7C873692">
            <w:pPr>
              <w:widowControl/>
              <w:jc w:val="center"/>
              <w:rPr>
                <w:rFonts w:hint="eastAsia" w:ascii="宋体" w:hAnsi="宋体" w:eastAsia="宋体" w:cs="宋体"/>
                <w:kern w:val="0"/>
                <w:sz w:val="24"/>
                <w:lang w:eastAsia="zh-CN"/>
              </w:rPr>
            </w:pPr>
            <w:r>
              <w:rPr>
                <w:rFonts w:hint="eastAsia" w:ascii="宋体" w:hAnsi="宋体" w:cs="宋体"/>
                <w:kern w:val="0"/>
                <w:sz w:val="24"/>
                <w:lang w:val="en-US" w:eastAsia="zh-CN"/>
              </w:rPr>
              <w:t>采购需求</w:t>
            </w:r>
          </w:p>
        </w:tc>
      </w:tr>
      <w:tr w14:paraId="0F72C087">
        <w:tblPrEx>
          <w:tblCellMar>
            <w:top w:w="0" w:type="dxa"/>
            <w:left w:w="108" w:type="dxa"/>
            <w:bottom w:w="0" w:type="dxa"/>
            <w:right w:w="108" w:type="dxa"/>
          </w:tblCellMar>
        </w:tblPrEx>
        <w:trPr>
          <w:trHeight w:val="561" w:hRule="atLeast"/>
        </w:trPr>
        <w:tc>
          <w:tcPr>
            <w:tcW w:w="446" w:type="pct"/>
            <w:vMerge w:val="restart"/>
            <w:tcBorders>
              <w:top w:val="single" w:color="auto" w:sz="4" w:space="0"/>
              <w:left w:val="single" w:color="auto" w:sz="4" w:space="0"/>
              <w:right w:val="single" w:color="auto" w:sz="4" w:space="0"/>
            </w:tcBorders>
            <w:noWrap w:val="0"/>
            <w:vAlign w:val="center"/>
          </w:tcPr>
          <w:p w14:paraId="3AFB7098">
            <w:pPr>
              <w:widowControl/>
              <w:jc w:val="center"/>
              <w:rPr>
                <w:rFonts w:hint="eastAsia" w:ascii="宋体" w:hAnsi="宋体" w:cs="宋体"/>
                <w:kern w:val="0"/>
                <w:sz w:val="24"/>
              </w:rPr>
            </w:pPr>
            <w:r>
              <w:rPr>
                <w:rFonts w:hint="eastAsia" w:ascii="宋体" w:hAnsi="宋体" w:cs="宋体"/>
                <w:kern w:val="0"/>
                <w:sz w:val="24"/>
              </w:rPr>
              <w:t>1</w:t>
            </w:r>
          </w:p>
          <w:p w14:paraId="55B0E091">
            <w:pPr>
              <w:widowControl/>
              <w:jc w:val="center"/>
              <w:rPr>
                <w:rFonts w:hint="default" w:ascii="宋体" w:hAnsi="宋体" w:cs="宋体"/>
                <w:kern w:val="0"/>
                <w:sz w:val="24"/>
                <w:lang w:val="en-US"/>
              </w:rPr>
            </w:pPr>
          </w:p>
        </w:tc>
        <w:tc>
          <w:tcPr>
            <w:tcW w:w="811" w:type="pct"/>
            <w:tcBorders>
              <w:top w:val="single" w:color="auto" w:sz="4" w:space="0"/>
              <w:left w:val="single" w:color="auto" w:sz="4" w:space="0"/>
              <w:bottom w:val="single" w:color="auto" w:sz="4" w:space="0"/>
              <w:right w:val="single" w:color="auto" w:sz="4" w:space="0"/>
            </w:tcBorders>
            <w:noWrap w:val="0"/>
            <w:vAlign w:val="center"/>
          </w:tcPr>
          <w:p w14:paraId="418A58FF">
            <w:pPr>
              <w:widowControl/>
              <w:jc w:val="center"/>
              <w:rPr>
                <w:rFonts w:hint="default"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医用冷藏</w:t>
            </w:r>
            <w:r>
              <w:rPr>
                <w:rFonts w:hint="eastAsia" w:ascii="宋体" w:hAnsi="宋体" w:cs="宋体"/>
                <w:b w:val="0"/>
                <w:bCs/>
                <w:sz w:val="21"/>
                <w:szCs w:val="21"/>
                <w:highlight w:val="none"/>
                <w:lang w:val="en-US" w:eastAsia="zh-CN"/>
              </w:rPr>
              <w:t>箱（</w:t>
            </w:r>
            <w:r>
              <w:rPr>
                <w:rFonts w:hint="eastAsia" w:ascii="宋体" w:hAnsi="宋体" w:eastAsia="宋体" w:cs="宋体"/>
                <w:kern w:val="0"/>
                <w:sz w:val="21"/>
                <w:szCs w:val="21"/>
                <w:highlight w:val="none"/>
                <w:lang w:val="en-US" w:eastAsia="zh-CN"/>
              </w:rPr>
              <w:t>有效容积≥</w:t>
            </w:r>
            <w:r>
              <w:rPr>
                <w:rFonts w:hint="default" w:ascii="宋体" w:hAnsi="宋体" w:cs="宋体"/>
                <w:kern w:val="0"/>
                <w:sz w:val="21"/>
                <w:szCs w:val="21"/>
                <w:highlight w:val="none"/>
                <w:lang w:val="en-US" w:eastAsia="zh-CN"/>
              </w:rPr>
              <w:t>95</w:t>
            </w:r>
            <w:r>
              <w:rPr>
                <w:rFonts w:hint="eastAsia" w:ascii="宋体" w:hAnsi="宋体" w:eastAsia="宋体" w:cs="宋体"/>
                <w:kern w:val="0"/>
                <w:sz w:val="21"/>
                <w:szCs w:val="21"/>
                <w:highlight w:val="none"/>
                <w:lang w:val="en-US" w:eastAsia="zh-CN"/>
              </w:rPr>
              <w:t>0升</w:t>
            </w:r>
            <w:r>
              <w:rPr>
                <w:rFonts w:hint="eastAsia" w:ascii="宋体" w:hAnsi="宋体" w:cs="宋体"/>
                <w:kern w:val="0"/>
                <w:sz w:val="21"/>
                <w:szCs w:val="21"/>
                <w:highlight w:val="none"/>
                <w:lang w:val="en-US" w:eastAsia="zh-CN"/>
              </w:rPr>
              <w:t>）</w:t>
            </w:r>
          </w:p>
        </w:tc>
        <w:tc>
          <w:tcPr>
            <w:tcW w:w="705" w:type="pct"/>
            <w:tcBorders>
              <w:top w:val="single" w:color="auto" w:sz="4" w:space="0"/>
              <w:left w:val="single" w:color="auto" w:sz="4" w:space="0"/>
              <w:bottom w:val="single" w:color="auto" w:sz="4" w:space="0"/>
              <w:right w:val="single" w:color="auto" w:sz="4" w:space="0"/>
            </w:tcBorders>
            <w:noWrap w:val="0"/>
            <w:vAlign w:val="center"/>
          </w:tcPr>
          <w:p w14:paraId="60420471">
            <w:pPr>
              <w:widowControl/>
              <w:jc w:val="center"/>
              <w:rPr>
                <w:rFonts w:hint="default" w:ascii="宋体" w:hAnsi="宋体" w:eastAsia="宋体" w:cs="宋体"/>
                <w:kern w:val="0"/>
                <w:sz w:val="21"/>
                <w:szCs w:val="21"/>
                <w:highlight w:val="none"/>
                <w:lang w:val="en-US" w:eastAsia="zh-CN"/>
              </w:rPr>
            </w:pPr>
            <w:r>
              <w:rPr>
                <w:rFonts w:hint="default" w:ascii="宋体" w:hAnsi="宋体" w:cs="宋体"/>
                <w:kern w:val="0"/>
                <w:sz w:val="21"/>
                <w:szCs w:val="21"/>
                <w:highlight w:val="none"/>
                <w:lang w:val="en-US" w:eastAsia="zh-CN"/>
              </w:rPr>
              <w:t>1</w:t>
            </w:r>
            <w:r>
              <w:rPr>
                <w:rFonts w:hint="eastAsia" w:ascii="宋体" w:hAnsi="宋体" w:eastAsia="宋体" w:cs="宋体"/>
                <w:kern w:val="0"/>
                <w:sz w:val="21"/>
                <w:szCs w:val="21"/>
                <w:highlight w:val="none"/>
                <w:lang w:val="en-US" w:eastAsia="zh-CN"/>
              </w:rPr>
              <w:t>台</w:t>
            </w:r>
          </w:p>
        </w:tc>
        <w:tc>
          <w:tcPr>
            <w:tcW w:w="1159" w:type="pct"/>
            <w:tcBorders>
              <w:top w:val="single" w:color="auto" w:sz="4" w:space="0"/>
              <w:left w:val="single" w:color="auto" w:sz="4" w:space="0"/>
              <w:right w:val="single" w:color="auto" w:sz="4" w:space="0"/>
            </w:tcBorders>
            <w:noWrap w:val="0"/>
            <w:vAlign w:val="center"/>
          </w:tcPr>
          <w:p w14:paraId="47D54293">
            <w:pPr>
              <w:widowControl/>
              <w:jc w:val="center"/>
              <w:rPr>
                <w:rFonts w:hint="default" w:ascii="宋体" w:hAnsi="宋体" w:eastAsia="宋体" w:cs="宋体"/>
                <w:kern w:val="0"/>
                <w:sz w:val="21"/>
                <w:szCs w:val="21"/>
                <w:highlight w:val="none"/>
                <w:lang w:val="en-US" w:eastAsia="zh-CN" w:bidi="ar-SA"/>
              </w:rPr>
            </w:pPr>
            <w:r>
              <w:rPr>
                <w:rFonts w:hint="default" w:ascii="宋体" w:hAnsi="宋体" w:cs="宋体"/>
                <w:kern w:val="0"/>
                <w:sz w:val="21"/>
                <w:szCs w:val="21"/>
                <w:highlight w:val="none"/>
                <w:lang w:val="en-US" w:eastAsia="zh-CN" w:bidi="ar-SA"/>
              </w:rPr>
              <w:t>2.4</w:t>
            </w:r>
          </w:p>
        </w:tc>
        <w:tc>
          <w:tcPr>
            <w:tcW w:w="1878" w:type="pct"/>
            <w:tcBorders>
              <w:top w:val="single" w:color="auto" w:sz="4" w:space="0"/>
              <w:left w:val="single" w:color="auto" w:sz="4" w:space="0"/>
              <w:bottom w:val="single" w:color="auto" w:sz="4" w:space="0"/>
              <w:right w:val="single" w:color="auto" w:sz="4" w:space="0"/>
            </w:tcBorders>
            <w:noWrap w:val="0"/>
            <w:vAlign w:val="center"/>
          </w:tcPr>
          <w:p w14:paraId="1E3F8796">
            <w:pPr>
              <w:widowControl/>
              <w:jc w:val="left"/>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用于药品的冷藏储存</w:t>
            </w:r>
            <w:r>
              <w:rPr>
                <w:rFonts w:hint="eastAsia" w:ascii="宋体" w:hAnsi="宋体" w:cs="宋体"/>
                <w:kern w:val="0"/>
                <w:sz w:val="21"/>
                <w:szCs w:val="21"/>
                <w:highlight w:val="none"/>
                <w:lang w:val="en-US" w:eastAsia="zh-CN"/>
              </w:rPr>
              <w:t>，</w:t>
            </w:r>
            <w:r>
              <w:rPr>
                <w:rFonts w:hint="eastAsia" w:ascii="宋体" w:hAnsi="宋体" w:eastAsia="宋体" w:cs="宋体"/>
                <w:kern w:val="0"/>
                <w:sz w:val="21"/>
                <w:szCs w:val="21"/>
                <w:highlight w:val="none"/>
                <w:lang w:val="en-US" w:eastAsia="zh-CN"/>
              </w:rPr>
              <w:t>温控范围2-8</w:t>
            </w:r>
            <w:bookmarkStart w:id="0" w:name="OLE_LINK1"/>
            <w:r>
              <w:rPr>
                <w:rFonts w:hint="eastAsia" w:ascii="宋体" w:hAnsi="宋体" w:eastAsia="宋体" w:cs="宋体"/>
                <w:kern w:val="0"/>
                <w:sz w:val="21"/>
                <w:szCs w:val="21"/>
                <w:highlight w:val="none"/>
                <w:lang w:val="en-US" w:eastAsia="zh-CN"/>
              </w:rPr>
              <w:t>℃</w:t>
            </w:r>
            <w:bookmarkEnd w:id="0"/>
            <w:r>
              <w:rPr>
                <w:rFonts w:hint="eastAsia" w:ascii="宋体" w:hAnsi="宋体" w:eastAsia="宋体" w:cs="宋体"/>
                <w:kern w:val="0"/>
                <w:sz w:val="21"/>
                <w:szCs w:val="21"/>
                <w:highlight w:val="none"/>
                <w:lang w:val="en-US" w:eastAsia="zh-CN"/>
              </w:rPr>
              <w:t>，数字显示，精度</w:t>
            </w:r>
            <w:r>
              <w:rPr>
                <w:rFonts w:hint="default" w:ascii="宋体" w:hAnsi="宋体" w:eastAsia="宋体" w:cs="宋体"/>
                <w:kern w:val="0"/>
                <w:sz w:val="21"/>
                <w:szCs w:val="21"/>
                <w:highlight w:val="none"/>
                <w:lang w:val="en-US" w:eastAsia="zh-CN"/>
              </w:rPr>
              <w:t>0.1</w:t>
            </w:r>
            <w:r>
              <w:rPr>
                <w:rFonts w:hint="eastAsia" w:ascii="宋体" w:hAnsi="宋体" w:eastAsia="宋体" w:cs="宋体"/>
                <w:kern w:val="0"/>
                <w:sz w:val="21"/>
                <w:szCs w:val="21"/>
                <w:highlight w:val="none"/>
                <w:lang w:val="en-US" w:eastAsia="zh-CN"/>
              </w:rPr>
              <w:t>℃；微电脑控制、变频压缩机、风冷设计、内置</w:t>
            </w:r>
            <w:r>
              <w:rPr>
                <w:rFonts w:hint="default" w:ascii="宋体" w:hAnsi="宋体" w:eastAsia="宋体" w:cs="宋体"/>
                <w:kern w:val="0"/>
                <w:sz w:val="21"/>
                <w:szCs w:val="21"/>
                <w:highlight w:val="none"/>
                <w:lang w:val="en-US" w:eastAsia="zh-CN"/>
              </w:rPr>
              <w:t>LED</w:t>
            </w:r>
            <w:r>
              <w:rPr>
                <w:rFonts w:hint="eastAsia" w:ascii="宋体" w:hAnsi="宋体" w:eastAsia="宋体" w:cs="宋体"/>
                <w:kern w:val="0"/>
                <w:sz w:val="21"/>
                <w:szCs w:val="21"/>
                <w:highlight w:val="none"/>
                <w:lang w:val="en-US" w:eastAsia="zh-CN"/>
              </w:rPr>
              <w:t>照明灯，搁架可调整；双门</w:t>
            </w:r>
            <w:r>
              <w:rPr>
                <w:rFonts w:hint="eastAsia" w:ascii="宋体" w:hAnsi="宋体" w:cs="宋体"/>
                <w:kern w:val="0"/>
                <w:sz w:val="21"/>
                <w:szCs w:val="21"/>
                <w:highlight w:val="none"/>
                <w:lang w:val="en-US" w:eastAsia="zh-CN"/>
              </w:rPr>
              <w:t>或三门</w:t>
            </w:r>
            <w:r>
              <w:rPr>
                <w:rFonts w:hint="eastAsia" w:ascii="宋体" w:hAnsi="宋体" w:eastAsia="宋体" w:cs="宋体"/>
                <w:kern w:val="0"/>
                <w:sz w:val="21"/>
                <w:szCs w:val="21"/>
                <w:highlight w:val="none"/>
                <w:lang w:val="en-US" w:eastAsia="zh-CN"/>
              </w:rPr>
              <w:t>（带热反射膜玻璃平移门或开门），带安全门锁设计；有开门、高低温、冷凝器异常等报警功能</w:t>
            </w:r>
            <w:r>
              <w:rPr>
                <w:rFonts w:hint="eastAsia" w:ascii="宋体" w:hAnsi="宋体" w:cs="宋体"/>
                <w:kern w:val="0"/>
                <w:sz w:val="21"/>
                <w:szCs w:val="21"/>
                <w:highlight w:val="none"/>
                <w:lang w:val="en-US" w:eastAsia="zh-CN"/>
              </w:rPr>
              <w:t>；</w:t>
            </w:r>
            <w:r>
              <w:rPr>
                <w:rFonts w:hint="eastAsia" w:ascii="宋体" w:hAnsi="宋体" w:eastAsia="宋体" w:cs="宋体"/>
                <w:kern w:val="0"/>
                <w:sz w:val="21"/>
                <w:szCs w:val="21"/>
                <w:highlight w:val="none"/>
                <w:lang w:val="en-US" w:eastAsia="zh-CN"/>
              </w:rPr>
              <w:t>须提供产品二类医疗器械注册证。</w:t>
            </w:r>
          </w:p>
        </w:tc>
      </w:tr>
      <w:tr w14:paraId="1B46BB30">
        <w:tblPrEx>
          <w:tblCellMar>
            <w:top w:w="0" w:type="dxa"/>
            <w:left w:w="108" w:type="dxa"/>
            <w:bottom w:w="0" w:type="dxa"/>
            <w:right w:w="108" w:type="dxa"/>
          </w:tblCellMar>
        </w:tblPrEx>
        <w:trPr>
          <w:trHeight w:val="561" w:hRule="atLeast"/>
        </w:trPr>
        <w:tc>
          <w:tcPr>
            <w:tcW w:w="446" w:type="pct"/>
            <w:vMerge w:val="continue"/>
            <w:tcBorders>
              <w:left w:val="single" w:color="auto" w:sz="4" w:space="0"/>
              <w:bottom w:val="single" w:color="auto" w:sz="4" w:space="0"/>
              <w:right w:val="single" w:color="auto" w:sz="4" w:space="0"/>
            </w:tcBorders>
            <w:noWrap w:val="0"/>
            <w:vAlign w:val="center"/>
          </w:tcPr>
          <w:p w14:paraId="21BEC3F6">
            <w:pPr>
              <w:widowControl/>
              <w:jc w:val="center"/>
              <w:rPr>
                <w:rFonts w:hint="default" w:ascii="宋体" w:hAnsi="宋体" w:cs="宋体"/>
                <w:kern w:val="0"/>
                <w:sz w:val="24"/>
                <w:lang w:val="en-US"/>
              </w:rPr>
            </w:pPr>
          </w:p>
        </w:tc>
        <w:tc>
          <w:tcPr>
            <w:tcW w:w="811" w:type="pct"/>
            <w:tcBorders>
              <w:top w:val="single" w:color="auto" w:sz="4" w:space="0"/>
              <w:left w:val="single" w:color="auto" w:sz="4" w:space="0"/>
              <w:bottom w:val="single" w:color="auto" w:sz="4" w:space="0"/>
              <w:right w:val="single" w:color="auto" w:sz="4" w:space="0"/>
            </w:tcBorders>
            <w:noWrap w:val="0"/>
            <w:vAlign w:val="center"/>
          </w:tcPr>
          <w:p w14:paraId="670D0D9D">
            <w:pPr>
              <w:widowControl/>
              <w:jc w:val="center"/>
              <w:rPr>
                <w:rFonts w:hint="eastAsia"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医用冷藏</w:t>
            </w:r>
            <w:r>
              <w:rPr>
                <w:rFonts w:hint="eastAsia" w:ascii="宋体" w:hAnsi="宋体" w:cs="宋体"/>
                <w:b w:val="0"/>
                <w:bCs/>
                <w:sz w:val="21"/>
                <w:szCs w:val="21"/>
                <w:highlight w:val="none"/>
                <w:lang w:val="en-US" w:eastAsia="zh-CN"/>
              </w:rPr>
              <w:t>箱</w:t>
            </w:r>
            <w:bookmarkStart w:id="1" w:name="OLE_LINK2"/>
            <w:r>
              <w:rPr>
                <w:rFonts w:hint="eastAsia" w:ascii="宋体" w:hAnsi="宋体" w:cs="宋体"/>
                <w:b w:val="0"/>
                <w:bCs/>
                <w:sz w:val="21"/>
                <w:szCs w:val="21"/>
                <w:highlight w:val="none"/>
                <w:lang w:val="en-US" w:eastAsia="zh-CN"/>
              </w:rPr>
              <w:t>（</w:t>
            </w:r>
            <w:r>
              <w:rPr>
                <w:rFonts w:hint="eastAsia" w:ascii="宋体" w:hAnsi="宋体" w:eastAsia="宋体" w:cs="宋体"/>
                <w:kern w:val="0"/>
                <w:sz w:val="21"/>
                <w:szCs w:val="21"/>
                <w:highlight w:val="none"/>
                <w:lang w:val="en-US" w:eastAsia="zh-CN"/>
              </w:rPr>
              <w:t>有效容积≥</w:t>
            </w:r>
            <w:r>
              <w:rPr>
                <w:rFonts w:hint="default" w:ascii="宋体" w:hAnsi="宋体" w:cs="宋体"/>
                <w:kern w:val="0"/>
                <w:sz w:val="21"/>
                <w:szCs w:val="21"/>
                <w:highlight w:val="none"/>
                <w:lang w:val="en-US" w:eastAsia="zh-CN"/>
              </w:rPr>
              <w:t>8</w:t>
            </w:r>
            <w:r>
              <w:rPr>
                <w:rFonts w:hint="eastAsia" w:ascii="宋体" w:hAnsi="宋体" w:eastAsia="宋体" w:cs="宋体"/>
                <w:kern w:val="0"/>
                <w:sz w:val="21"/>
                <w:szCs w:val="21"/>
                <w:highlight w:val="none"/>
                <w:lang w:val="en-US" w:eastAsia="zh-CN"/>
              </w:rPr>
              <w:t>0升</w:t>
            </w:r>
            <w:r>
              <w:rPr>
                <w:rFonts w:hint="eastAsia" w:ascii="宋体" w:hAnsi="宋体" w:cs="宋体"/>
                <w:kern w:val="0"/>
                <w:sz w:val="21"/>
                <w:szCs w:val="21"/>
                <w:highlight w:val="none"/>
                <w:lang w:val="en-US" w:eastAsia="zh-CN"/>
              </w:rPr>
              <w:t>）</w:t>
            </w:r>
            <w:bookmarkEnd w:id="1"/>
          </w:p>
        </w:tc>
        <w:tc>
          <w:tcPr>
            <w:tcW w:w="705" w:type="pct"/>
            <w:tcBorders>
              <w:top w:val="single" w:color="auto" w:sz="4" w:space="0"/>
              <w:left w:val="single" w:color="auto" w:sz="4" w:space="0"/>
              <w:bottom w:val="single" w:color="auto" w:sz="4" w:space="0"/>
              <w:right w:val="single" w:color="auto" w:sz="4" w:space="0"/>
            </w:tcBorders>
            <w:noWrap w:val="0"/>
            <w:vAlign w:val="center"/>
          </w:tcPr>
          <w:p w14:paraId="1BB7CF0B">
            <w:pPr>
              <w:widowControl/>
              <w:jc w:val="center"/>
              <w:rPr>
                <w:rFonts w:hint="default" w:ascii="宋体" w:hAnsi="宋体" w:cs="宋体"/>
                <w:kern w:val="0"/>
                <w:sz w:val="21"/>
                <w:szCs w:val="21"/>
                <w:highlight w:val="none"/>
                <w:lang w:val="en-US" w:eastAsia="zh-CN"/>
              </w:rPr>
            </w:pPr>
            <w:r>
              <w:rPr>
                <w:rFonts w:hint="default" w:ascii="宋体" w:hAnsi="宋体" w:cs="宋体"/>
                <w:kern w:val="0"/>
                <w:sz w:val="21"/>
                <w:szCs w:val="21"/>
                <w:highlight w:val="none"/>
                <w:lang w:val="en-US" w:eastAsia="zh-CN"/>
              </w:rPr>
              <w:t>1</w:t>
            </w:r>
            <w:r>
              <w:rPr>
                <w:rFonts w:hint="eastAsia" w:ascii="宋体" w:hAnsi="宋体" w:eastAsia="宋体" w:cs="宋体"/>
                <w:kern w:val="0"/>
                <w:sz w:val="21"/>
                <w:szCs w:val="21"/>
                <w:highlight w:val="none"/>
                <w:lang w:val="en-US" w:eastAsia="zh-CN"/>
              </w:rPr>
              <w:t>台</w:t>
            </w:r>
          </w:p>
        </w:tc>
        <w:tc>
          <w:tcPr>
            <w:tcW w:w="1159" w:type="pct"/>
            <w:tcBorders>
              <w:top w:val="single" w:color="auto" w:sz="4" w:space="0"/>
              <w:left w:val="single" w:color="auto" w:sz="4" w:space="0"/>
              <w:right w:val="single" w:color="auto" w:sz="4" w:space="0"/>
            </w:tcBorders>
            <w:noWrap w:val="0"/>
            <w:vAlign w:val="center"/>
          </w:tcPr>
          <w:p w14:paraId="4F647BD3">
            <w:pPr>
              <w:widowControl/>
              <w:jc w:val="center"/>
              <w:rPr>
                <w:rFonts w:hint="default" w:ascii="宋体" w:hAnsi="宋体" w:cs="宋体"/>
                <w:kern w:val="0"/>
                <w:sz w:val="21"/>
                <w:szCs w:val="21"/>
                <w:highlight w:val="none"/>
                <w:lang w:val="en-US" w:eastAsia="zh-CN" w:bidi="ar-SA"/>
              </w:rPr>
            </w:pPr>
            <w:r>
              <w:rPr>
                <w:rFonts w:hint="default" w:ascii="宋体" w:hAnsi="宋体" w:cs="宋体"/>
                <w:kern w:val="0"/>
                <w:sz w:val="21"/>
                <w:szCs w:val="21"/>
                <w:highlight w:val="none"/>
                <w:lang w:val="en-US" w:eastAsia="zh-CN" w:bidi="ar-SA"/>
              </w:rPr>
              <w:t>0.5</w:t>
            </w:r>
          </w:p>
        </w:tc>
        <w:tc>
          <w:tcPr>
            <w:tcW w:w="1878" w:type="pct"/>
            <w:tcBorders>
              <w:top w:val="single" w:color="auto" w:sz="4" w:space="0"/>
              <w:left w:val="single" w:color="auto" w:sz="4" w:space="0"/>
              <w:bottom w:val="single" w:color="auto" w:sz="4" w:space="0"/>
              <w:right w:val="single" w:color="auto" w:sz="4" w:space="0"/>
            </w:tcBorders>
            <w:noWrap w:val="0"/>
            <w:vAlign w:val="center"/>
          </w:tcPr>
          <w:p w14:paraId="08068A8E">
            <w:pPr>
              <w:widowControl/>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用于药品的冷藏储存</w:t>
            </w:r>
            <w:r>
              <w:rPr>
                <w:rFonts w:hint="default" w:ascii="宋体" w:hAnsi="宋体" w:cs="宋体"/>
                <w:kern w:val="0"/>
                <w:sz w:val="21"/>
                <w:szCs w:val="21"/>
                <w:highlight w:val="none"/>
                <w:lang w:val="en-US" w:eastAsia="zh-CN"/>
              </w:rPr>
              <w:t>,</w:t>
            </w:r>
            <w:r>
              <w:rPr>
                <w:rFonts w:hint="eastAsia" w:ascii="宋体" w:hAnsi="宋体" w:eastAsia="宋体" w:cs="宋体"/>
                <w:kern w:val="0"/>
                <w:sz w:val="21"/>
                <w:szCs w:val="21"/>
                <w:highlight w:val="none"/>
                <w:lang w:val="en-US" w:eastAsia="zh-CN"/>
              </w:rPr>
              <w:t>温控范围2-8℃，数字显示，精度</w:t>
            </w:r>
            <w:r>
              <w:rPr>
                <w:rFonts w:hint="default" w:ascii="宋体" w:hAnsi="宋体" w:eastAsia="宋体" w:cs="宋体"/>
                <w:kern w:val="0"/>
                <w:sz w:val="21"/>
                <w:szCs w:val="21"/>
                <w:highlight w:val="none"/>
                <w:lang w:val="en-US" w:eastAsia="zh-CN"/>
              </w:rPr>
              <w:t>0.1</w:t>
            </w:r>
            <w:r>
              <w:rPr>
                <w:rFonts w:hint="eastAsia" w:ascii="宋体" w:hAnsi="宋体" w:eastAsia="宋体" w:cs="宋体"/>
                <w:kern w:val="0"/>
                <w:sz w:val="21"/>
                <w:szCs w:val="21"/>
                <w:highlight w:val="none"/>
                <w:lang w:val="en-US" w:eastAsia="zh-CN"/>
              </w:rPr>
              <w:t>℃；微电脑控制、变频压缩机、风冷设计、内置</w:t>
            </w:r>
            <w:r>
              <w:rPr>
                <w:rFonts w:hint="default" w:ascii="宋体" w:hAnsi="宋体" w:eastAsia="宋体" w:cs="宋体"/>
                <w:kern w:val="0"/>
                <w:sz w:val="21"/>
                <w:szCs w:val="21"/>
                <w:highlight w:val="none"/>
                <w:lang w:val="en-US" w:eastAsia="zh-CN"/>
              </w:rPr>
              <w:t>LED</w:t>
            </w:r>
            <w:r>
              <w:rPr>
                <w:rFonts w:hint="eastAsia" w:ascii="宋体" w:hAnsi="宋体" w:eastAsia="宋体" w:cs="宋体"/>
                <w:kern w:val="0"/>
                <w:sz w:val="21"/>
                <w:szCs w:val="21"/>
                <w:highlight w:val="none"/>
                <w:lang w:val="en-US" w:eastAsia="zh-CN"/>
              </w:rPr>
              <w:t>照明灯，搁架可调整；</w:t>
            </w:r>
            <w:r>
              <w:rPr>
                <w:rFonts w:hint="eastAsia" w:ascii="宋体" w:hAnsi="宋体" w:cs="宋体"/>
                <w:kern w:val="0"/>
                <w:sz w:val="21"/>
                <w:szCs w:val="21"/>
                <w:highlight w:val="none"/>
                <w:lang w:val="en-US" w:eastAsia="zh-CN"/>
              </w:rPr>
              <w:t>中控玻璃门，</w:t>
            </w:r>
            <w:r>
              <w:rPr>
                <w:rFonts w:hint="eastAsia" w:ascii="宋体" w:hAnsi="宋体" w:eastAsia="宋体" w:cs="宋体"/>
                <w:kern w:val="0"/>
                <w:sz w:val="21"/>
                <w:szCs w:val="21"/>
                <w:highlight w:val="none"/>
                <w:lang w:val="en-US" w:eastAsia="zh-CN"/>
              </w:rPr>
              <w:t>有开门、高低温、冷凝器异常等报警功能；须提供产品二类医疗器械注册证。</w:t>
            </w:r>
          </w:p>
        </w:tc>
      </w:tr>
      <w:tr w14:paraId="3FA80165">
        <w:tblPrEx>
          <w:tblCellMar>
            <w:top w:w="0" w:type="dxa"/>
            <w:left w:w="108" w:type="dxa"/>
            <w:bottom w:w="0" w:type="dxa"/>
            <w:right w:w="108" w:type="dxa"/>
          </w:tblCellMar>
        </w:tblPrEx>
        <w:trPr>
          <w:trHeight w:val="561" w:hRule="atLeast"/>
        </w:trPr>
        <w:tc>
          <w:tcPr>
            <w:tcW w:w="446" w:type="pct"/>
            <w:vMerge w:val="restart"/>
            <w:tcBorders>
              <w:top w:val="single" w:color="auto" w:sz="4" w:space="0"/>
              <w:left w:val="single" w:color="auto" w:sz="4" w:space="0"/>
              <w:right w:val="single" w:color="auto" w:sz="4" w:space="0"/>
            </w:tcBorders>
            <w:noWrap w:val="0"/>
            <w:vAlign w:val="center"/>
          </w:tcPr>
          <w:p w14:paraId="4451706A">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lang w:val="en-US" w:eastAsia="zh-CN"/>
              </w:rPr>
              <w:t>2</w:t>
            </w:r>
          </w:p>
        </w:tc>
        <w:tc>
          <w:tcPr>
            <w:tcW w:w="811" w:type="pct"/>
            <w:tcBorders>
              <w:top w:val="single" w:color="auto" w:sz="4" w:space="0"/>
              <w:left w:val="single" w:color="auto" w:sz="4" w:space="0"/>
              <w:bottom w:val="single" w:color="auto" w:sz="4" w:space="0"/>
              <w:right w:val="single" w:color="auto" w:sz="4" w:space="0"/>
            </w:tcBorders>
            <w:noWrap w:val="0"/>
            <w:vAlign w:val="center"/>
          </w:tcPr>
          <w:p w14:paraId="1E64B0CB">
            <w:pPr>
              <w:widowControl/>
              <w:jc w:val="center"/>
              <w:rPr>
                <w:rFonts w:hint="eastAsia"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医用</w:t>
            </w:r>
            <w:r>
              <w:rPr>
                <w:rFonts w:hint="eastAsia" w:ascii="宋体" w:hAnsi="宋体" w:cs="宋体"/>
                <w:b w:val="0"/>
                <w:bCs/>
                <w:sz w:val="21"/>
                <w:szCs w:val="21"/>
                <w:highlight w:val="none"/>
                <w:lang w:val="en-US" w:eastAsia="zh-CN"/>
              </w:rPr>
              <w:t>阴凉柜（</w:t>
            </w:r>
            <w:r>
              <w:rPr>
                <w:rFonts w:hint="eastAsia" w:ascii="宋体" w:hAnsi="宋体" w:eastAsia="宋体" w:cs="宋体"/>
                <w:kern w:val="0"/>
                <w:sz w:val="21"/>
                <w:szCs w:val="21"/>
                <w:highlight w:val="none"/>
                <w:lang w:val="en-US" w:eastAsia="zh-CN"/>
              </w:rPr>
              <w:t>有效容积≥</w:t>
            </w:r>
            <w:r>
              <w:rPr>
                <w:rFonts w:hint="default" w:ascii="宋体" w:hAnsi="宋体" w:cs="宋体"/>
                <w:kern w:val="0"/>
                <w:sz w:val="21"/>
                <w:szCs w:val="21"/>
                <w:highlight w:val="none"/>
                <w:lang w:val="en-US" w:eastAsia="zh-CN"/>
              </w:rPr>
              <w:t>95</w:t>
            </w:r>
            <w:r>
              <w:rPr>
                <w:rFonts w:hint="eastAsia" w:ascii="宋体" w:hAnsi="宋体" w:eastAsia="宋体" w:cs="宋体"/>
                <w:kern w:val="0"/>
                <w:sz w:val="21"/>
                <w:szCs w:val="21"/>
                <w:highlight w:val="none"/>
                <w:lang w:val="en-US" w:eastAsia="zh-CN"/>
              </w:rPr>
              <w:t>0升</w:t>
            </w:r>
            <w:r>
              <w:rPr>
                <w:rFonts w:hint="eastAsia" w:ascii="宋体" w:hAnsi="宋体" w:cs="宋体"/>
                <w:kern w:val="0"/>
                <w:sz w:val="21"/>
                <w:szCs w:val="21"/>
                <w:highlight w:val="none"/>
                <w:lang w:val="en-US" w:eastAsia="zh-CN"/>
              </w:rPr>
              <w:t>）</w:t>
            </w:r>
          </w:p>
        </w:tc>
        <w:tc>
          <w:tcPr>
            <w:tcW w:w="705" w:type="pct"/>
            <w:tcBorders>
              <w:top w:val="single" w:color="auto" w:sz="4" w:space="0"/>
              <w:left w:val="single" w:color="auto" w:sz="4" w:space="0"/>
              <w:bottom w:val="single" w:color="auto" w:sz="4" w:space="0"/>
              <w:right w:val="single" w:color="auto" w:sz="4" w:space="0"/>
            </w:tcBorders>
            <w:noWrap w:val="0"/>
            <w:vAlign w:val="center"/>
          </w:tcPr>
          <w:p w14:paraId="3D8A3A0F">
            <w:pPr>
              <w:widowControl/>
              <w:jc w:val="center"/>
              <w:rPr>
                <w:rFonts w:hint="eastAsia" w:ascii="宋体" w:hAnsi="宋体" w:eastAsia="宋体" w:cs="宋体"/>
                <w:kern w:val="0"/>
                <w:sz w:val="21"/>
                <w:szCs w:val="21"/>
                <w:highlight w:val="none"/>
                <w:lang w:val="en-US" w:eastAsia="zh-CN"/>
              </w:rPr>
            </w:pPr>
            <w:r>
              <w:rPr>
                <w:rFonts w:hint="default" w:ascii="宋体" w:hAnsi="宋体" w:cs="宋体"/>
                <w:kern w:val="0"/>
                <w:sz w:val="21"/>
                <w:szCs w:val="21"/>
                <w:highlight w:val="none"/>
                <w:lang w:val="en-US" w:eastAsia="zh-CN"/>
              </w:rPr>
              <w:t>1</w:t>
            </w:r>
            <w:r>
              <w:rPr>
                <w:rFonts w:hint="eastAsia" w:ascii="宋体" w:hAnsi="宋体" w:cs="宋体"/>
                <w:kern w:val="0"/>
                <w:sz w:val="21"/>
                <w:szCs w:val="21"/>
                <w:highlight w:val="none"/>
                <w:lang w:val="en-US" w:eastAsia="zh-CN"/>
              </w:rPr>
              <w:t>台</w:t>
            </w:r>
          </w:p>
        </w:tc>
        <w:tc>
          <w:tcPr>
            <w:tcW w:w="1159" w:type="pct"/>
            <w:tcBorders>
              <w:top w:val="single" w:color="auto" w:sz="4" w:space="0"/>
              <w:left w:val="single" w:color="auto" w:sz="4" w:space="0"/>
              <w:right w:val="single" w:color="auto" w:sz="4" w:space="0"/>
            </w:tcBorders>
            <w:noWrap w:val="0"/>
            <w:vAlign w:val="center"/>
          </w:tcPr>
          <w:p w14:paraId="2D80A977">
            <w:pPr>
              <w:widowControl/>
              <w:jc w:val="center"/>
              <w:rPr>
                <w:rFonts w:hint="default" w:ascii="宋体" w:hAnsi="宋体" w:cs="宋体"/>
                <w:kern w:val="0"/>
                <w:sz w:val="21"/>
                <w:szCs w:val="21"/>
                <w:highlight w:val="none"/>
                <w:lang w:val="en-US" w:eastAsia="zh-CN" w:bidi="ar-SA"/>
              </w:rPr>
            </w:pPr>
            <w:r>
              <w:rPr>
                <w:rFonts w:hint="default" w:ascii="宋体" w:hAnsi="宋体" w:cs="宋体"/>
                <w:kern w:val="0"/>
                <w:sz w:val="21"/>
                <w:szCs w:val="21"/>
                <w:highlight w:val="none"/>
                <w:lang w:val="en-US" w:eastAsia="zh-CN" w:bidi="ar-SA"/>
              </w:rPr>
              <w:t>1.4</w:t>
            </w:r>
          </w:p>
        </w:tc>
        <w:tc>
          <w:tcPr>
            <w:tcW w:w="1878" w:type="pct"/>
            <w:tcBorders>
              <w:top w:val="single" w:color="auto" w:sz="4" w:space="0"/>
              <w:left w:val="single" w:color="auto" w:sz="4" w:space="0"/>
              <w:bottom w:val="single" w:color="auto" w:sz="4" w:space="0"/>
              <w:right w:val="single" w:color="auto" w:sz="4" w:space="0"/>
            </w:tcBorders>
            <w:noWrap w:val="0"/>
            <w:vAlign w:val="center"/>
          </w:tcPr>
          <w:p w14:paraId="5AD144E5">
            <w:pPr>
              <w:widowControl/>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用于药品的</w:t>
            </w:r>
            <w:r>
              <w:rPr>
                <w:rFonts w:hint="eastAsia" w:ascii="宋体" w:hAnsi="宋体" w:cs="宋体"/>
                <w:b w:val="0"/>
                <w:bCs/>
                <w:sz w:val="21"/>
                <w:szCs w:val="21"/>
                <w:highlight w:val="none"/>
                <w:lang w:val="en-US" w:eastAsia="zh-CN"/>
              </w:rPr>
              <w:t>阴凉</w:t>
            </w:r>
            <w:r>
              <w:rPr>
                <w:rFonts w:hint="eastAsia" w:ascii="宋体" w:hAnsi="宋体" w:eastAsia="宋体" w:cs="宋体"/>
                <w:kern w:val="0"/>
                <w:sz w:val="21"/>
                <w:szCs w:val="21"/>
                <w:highlight w:val="none"/>
                <w:lang w:val="en-US" w:eastAsia="zh-CN"/>
              </w:rPr>
              <w:t>储存，温控范围</w:t>
            </w:r>
            <w:r>
              <w:rPr>
                <w:rFonts w:hint="default" w:ascii="宋体" w:hAnsi="宋体" w:cs="宋体"/>
                <w:kern w:val="0"/>
                <w:sz w:val="21"/>
                <w:szCs w:val="21"/>
                <w:highlight w:val="none"/>
                <w:lang w:val="en-US" w:eastAsia="zh-CN"/>
              </w:rPr>
              <w:t>8</w:t>
            </w:r>
            <w:r>
              <w:rPr>
                <w:rFonts w:hint="eastAsia" w:ascii="宋体" w:hAnsi="宋体" w:eastAsia="宋体" w:cs="宋体"/>
                <w:kern w:val="0"/>
                <w:sz w:val="21"/>
                <w:szCs w:val="21"/>
                <w:highlight w:val="none"/>
                <w:lang w:val="en-US" w:eastAsia="zh-CN"/>
              </w:rPr>
              <w:t>-</w:t>
            </w:r>
            <w:r>
              <w:rPr>
                <w:rFonts w:hint="default" w:ascii="宋体" w:hAnsi="宋体" w:cs="宋体"/>
                <w:kern w:val="0"/>
                <w:sz w:val="21"/>
                <w:szCs w:val="21"/>
                <w:highlight w:val="none"/>
                <w:lang w:val="en-US" w:eastAsia="zh-CN"/>
              </w:rPr>
              <w:t>20</w:t>
            </w:r>
            <w:r>
              <w:rPr>
                <w:rFonts w:hint="eastAsia" w:ascii="宋体" w:hAnsi="宋体" w:eastAsia="宋体" w:cs="宋体"/>
                <w:kern w:val="0"/>
                <w:sz w:val="21"/>
                <w:szCs w:val="21"/>
                <w:highlight w:val="none"/>
                <w:lang w:val="en-US" w:eastAsia="zh-CN"/>
              </w:rPr>
              <w:t>℃，数字显示，精度</w:t>
            </w:r>
            <w:r>
              <w:rPr>
                <w:rFonts w:hint="default" w:ascii="宋体" w:hAnsi="宋体" w:eastAsia="宋体" w:cs="宋体"/>
                <w:kern w:val="0"/>
                <w:sz w:val="21"/>
                <w:szCs w:val="21"/>
                <w:highlight w:val="none"/>
                <w:lang w:val="en-US" w:eastAsia="zh-CN"/>
              </w:rPr>
              <w:t>0.1</w:t>
            </w:r>
            <w:r>
              <w:rPr>
                <w:rFonts w:hint="eastAsia" w:ascii="宋体" w:hAnsi="宋体" w:eastAsia="宋体" w:cs="宋体"/>
                <w:kern w:val="0"/>
                <w:sz w:val="21"/>
                <w:szCs w:val="21"/>
                <w:highlight w:val="none"/>
                <w:lang w:val="en-US" w:eastAsia="zh-CN"/>
              </w:rPr>
              <w:t>℃；微电脑控制、变频压缩机、风冷设计、内置</w:t>
            </w:r>
            <w:r>
              <w:rPr>
                <w:rFonts w:hint="default" w:ascii="宋体" w:hAnsi="宋体" w:eastAsia="宋体" w:cs="宋体"/>
                <w:kern w:val="0"/>
                <w:sz w:val="21"/>
                <w:szCs w:val="21"/>
                <w:highlight w:val="none"/>
                <w:lang w:val="en-US" w:eastAsia="zh-CN"/>
              </w:rPr>
              <w:t>LED</w:t>
            </w:r>
            <w:r>
              <w:rPr>
                <w:rFonts w:hint="eastAsia" w:ascii="宋体" w:hAnsi="宋体" w:eastAsia="宋体" w:cs="宋体"/>
                <w:kern w:val="0"/>
                <w:sz w:val="21"/>
                <w:szCs w:val="21"/>
                <w:highlight w:val="none"/>
                <w:lang w:val="en-US" w:eastAsia="zh-CN"/>
              </w:rPr>
              <w:t>照明灯，搁架可调整；双门</w:t>
            </w:r>
            <w:r>
              <w:rPr>
                <w:rFonts w:hint="eastAsia" w:ascii="宋体" w:hAnsi="宋体" w:cs="宋体"/>
                <w:kern w:val="0"/>
                <w:sz w:val="21"/>
                <w:szCs w:val="21"/>
                <w:highlight w:val="none"/>
                <w:lang w:val="en-US" w:eastAsia="zh-CN"/>
              </w:rPr>
              <w:t>或三门</w:t>
            </w:r>
            <w:r>
              <w:rPr>
                <w:rFonts w:hint="eastAsia" w:ascii="宋体" w:hAnsi="宋体" w:eastAsia="宋体" w:cs="宋体"/>
                <w:kern w:val="0"/>
                <w:sz w:val="21"/>
                <w:szCs w:val="21"/>
                <w:highlight w:val="none"/>
                <w:lang w:val="en-US" w:eastAsia="zh-CN"/>
              </w:rPr>
              <w:t>（带热反射膜玻璃平移门或开门），带安全门锁设计；有开门、高低温、冷凝器异常等报警功能</w:t>
            </w:r>
            <w:r>
              <w:rPr>
                <w:rFonts w:hint="eastAsia" w:ascii="宋体" w:hAnsi="宋体" w:cs="宋体"/>
                <w:kern w:val="0"/>
                <w:sz w:val="21"/>
                <w:szCs w:val="21"/>
                <w:highlight w:val="none"/>
                <w:lang w:val="en-US" w:eastAsia="zh-CN"/>
              </w:rPr>
              <w:t>。</w:t>
            </w:r>
          </w:p>
        </w:tc>
      </w:tr>
      <w:tr w14:paraId="34782109">
        <w:tblPrEx>
          <w:tblCellMar>
            <w:top w:w="0" w:type="dxa"/>
            <w:left w:w="108" w:type="dxa"/>
            <w:bottom w:w="0" w:type="dxa"/>
            <w:right w:w="108" w:type="dxa"/>
          </w:tblCellMar>
        </w:tblPrEx>
        <w:trPr>
          <w:trHeight w:val="561" w:hRule="atLeast"/>
        </w:trPr>
        <w:tc>
          <w:tcPr>
            <w:tcW w:w="446" w:type="pct"/>
            <w:vMerge w:val="continue"/>
            <w:tcBorders>
              <w:left w:val="single" w:color="auto" w:sz="4" w:space="0"/>
              <w:bottom w:val="single" w:color="auto" w:sz="4" w:space="0"/>
              <w:right w:val="single" w:color="auto" w:sz="4" w:space="0"/>
            </w:tcBorders>
            <w:noWrap w:val="0"/>
            <w:vAlign w:val="center"/>
          </w:tcPr>
          <w:p w14:paraId="53302E2A">
            <w:pPr>
              <w:widowControl/>
              <w:jc w:val="center"/>
              <w:rPr>
                <w:rFonts w:hint="default" w:ascii="宋体" w:hAnsi="宋体" w:eastAsia="宋体" w:cs="宋体"/>
                <w:kern w:val="0"/>
                <w:sz w:val="24"/>
                <w:szCs w:val="24"/>
                <w:lang w:val="en-US" w:eastAsia="zh-CN" w:bidi="ar-SA"/>
              </w:rPr>
            </w:pPr>
          </w:p>
        </w:tc>
        <w:tc>
          <w:tcPr>
            <w:tcW w:w="811" w:type="pct"/>
            <w:tcBorders>
              <w:top w:val="single" w:color="auto" w:sz="4" w:space="0"/>
              <w:left w:val="single" w:color="auto" w:sz="4" w:space="0"/>
              <w:bottom w:val="single" w:color="auto" w:sz="4" w:space="0"/>
              <w:right w:val="single" w:color="auto" w:sz="4" w:space="0"/>
            </w:tcBorders>
            <w:noWrap w:val="0"/>
            <w:vAlign w:val="center"/>
          </w:tcPr>
          <w:p w14:paraId="755D4465">
            <w:pPr>
              <w:widowControl/>
              <w:jc w:val="center"/>
              <w:rPr>
                <w:rFonts w:hint="eastAsia" w:ascii="宋体" w:hAnsi="宋体" w:eastAsia="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医用</w:t>
            </w:r>
            <w:r>
              <w:rPr>
                <w:rFonts w:hint="eastAsia" w:ascii="宋体" w:hAnsi="宋体" w:cs="宋体"/>
                <w:b w:val="0"/>
                <w:bCs/>
                <w:sz w:val="21"/>
                <w:szCs w:val="21"/>
                <w:highlight w:val="none"/>
                <w:lang w:val="en-US" w:eastAsia="zh-CN"/>
              </w:rPr>
              <w:t>阴凉柜（</w:t>
            </w:r>
            <w:r>
              <w:rPr>
                <w:rFonts w:hint="eastAsia" w:ascii="宋体" w:hAnsi="宋体" w:eastAsia="宋体" w:cs="宋体"/>
                <w:kern w:val="0"/>
                <w:sz w:val="21"/>
                <w:szCs w:val="21"/>
                <w:highlight w:val="none"/>
                <w:lang w:val="en-US" w:eastAsia="zh-CN"/>
              </w:rPr>
              <w:t>有效容积≥</w:t>
            </w:r>
            <w:r>
              <w:rPr>
                <w:rFonts w:hint="default" w:ascii="宋体" w:hAnsi="宋体" w:cs="宋体"/>
                <w:kern w:val="0"/>
                <w:sz w:val="21"/>
                <w:szCs w:val="21"/>
                <w:highlight w:val="none"/>
                <w:lang w:val="en-US" w:eastAsia="zh-CN"/>
              </w:rPr>
              <w:t>8</w:t>
            </w:r>
            <w:r>
              <w:rPr>
                <w:rFonts w:hint="eastAsia" w:ascii="宋体" w:hAnsi="宋体" w:eastAsia="宋体" w:cs="宋体"/>
                <w:kern w:val="0"/>
                <w:sz w:val="21"/>
                <w:szCs w:val="21"/>
                <w:highlight w:val="none"/>
                <w:lang w:val="en-US" w:eastAsia="zh-CN"/>
              </w:rPr>
              <w:t>0升</w:t>
            </w:r>
            <w:r>
              <w:rPr>
                <w:rFonts w:hint="eastAsia" w:ascii="宋体" w:hAnsi="宋体" w:cs="宋体"/>
                <w:kern w:val="0"/>
                <w:sz w:val="21"/>
                <w:szCs w:val="21"/>
                <w:highlight w:val="none"/>
                <w:lang w:val="en-US" w:eastAsia="zh-CN"/>
              </w:rPr>
              <w:t>）</w:t>
            </w:r>
          </w:p>
        </w:tc>
        <w:tc>
          <w:tcPr>
            <w:tcW w:w="705" w:type="pct"/>
            <w:tcBorders>
              <w:top w:val="single" w:color="auto" w:sz="4" w:space="0"/>
              <w:left w:val="single" w:color="auto" w:sz="4" w:space="0"/>
              <w:bottom w:val="single" w:color="auto" w:sz="4" w:space="0"/>
              <w:right w:val="single" w:color="auto" w:sz="4" w:space="0"/>
            </w:tcBorders>
            <w:noWrap w:val="0"/>
            <w:vAlign w:val="center"/>
          </w:tcPr>
          <w:p w14:paraId="6916848D">
            <w:pPr>
              <w:widowControl/>
              <w:jc w:val="center"/>
              <w:rPr>
                <w:rFonts w:hint="default" w:ascii="宋体" w:hAnsi="宋体" w:eastAsia="宋体" w:cs="宋体"/>
                <w:kern w:val="0"/>
                <w:sz w:val="21"/>
                <w:szCs w:val="21"/>
                <w:highlight w:val="none"/>
                <w:lang w:val="en-US" w:eastAsia="zh-CN" w:bidi="ar-SA"/>
              </w:rPr>
            </w:pPr>
            <w:r>
              <w:rPr>
                <w:rFonts w:hint="default" w:ascii="宋体" w:hAnsi="宋体" w:cs="宋体"/>
                <w:kern w:val="0"/>
                <w:sz w:val="21"/>
                <w:szCs w:val="21"/>
                <w:highlight w:val="none"/>
                <w:lang w:val="en-US" w:eastAsia="zh-CN"/>
              </w:rPr>
              <w:t>1</w:t>
            </w:r>
            <w:r>
              <w:rPr>
                <w:rFonts w:hint="eastAsia" w:ascii="宋体" w:hAnsi="宋体" w:cs="宋体"/>
                <w:kern w:val="0"/>
                <w:sz w:val="21"/>
                <w:szCs w:val="21"/>
                <w:highlight w:val="none"/>
                <w:lang w:val="en-US" w:eastAsia="zh-CN"/>
              </w:rPr>
              <w:t>台</w:t>
            </w:r>
          </w:p>
        </w:tc>
        <w:tc>
          <w:tcPr>
            <w:tcW w:w="1159" w:type="pct"/>
            <w:tcBorders>
              <w:top w:val="single" w:color="auto" w:sz="4" w:space="0"/>
              <w:left w:val="single" w:color="auto" w:sz="4" w:space="0"/>
              <w:bottom w:val="single" w:color="auto" w:sz="4" w:space="0"/>
              <w:right w:val="single" w:color="auto" w:sz="4" w:space="0"/>
            </w:tcBorders>
            <w:noWrap w:val="0"/>
            <w:vAlign w:val="center"/>
          </w:tcPr>
          <w:p w14:paraId="54A090D3">
            <w:pPr>
              <w:widowControl/>
              <w:jc w:val="center"/>
              <w:rPr>
                <w:rFonts w:hint="default" w:ascii="宋体" w:hAnsi="宋体" w:eastAsia="宋体" w:cs="宋体"/>
                <w:kern w:val="0"/>
                <w:sz w:val="21"/>
                <w:szCs w:val="21"/>
                <w:highlight w:val="none"/>
                <w:lang w:val="en-US" w:eastAsia="zh-CN" w:bidi="ar-SA"/>
              </w:rPr>
            </w:pPr>
            <w:r>
              <w:rPr>
                <w:rFonts w:hint="default" w:ascii="宋体" w:hAnsi="宋体" w:cs="宋体"/>
                <w:kern w:val="0"/>
                <w:sz w:val="21"/>
                <w:szCs w:val="21"/>
                <w:highlight w:val="none"/>
                <w:lang w:val="en-US" w:eastAsia="zh-CN" w:bidi="ar-SA"/>
              </w:rPr>
              <w:t>0.5</w:t>
            </w:r>
          </w:p>
        </w:tc>
        <w:tc>
          <w:tcPr>
            <w:tcW w:w="1878" w:type="pct"/>
            <w:tcBorders>
              <w:top w:val="single" w:color="auto" w:sz="4" w:space="0"/>
              <w:left w:val="single" w:color="auto" w:sz="4" w:space="0"/>
              <w:bottom w:val="single" w:color="auto" w:sz="4" w:space="0"/>
              <w:right w:val="single" w:color="auto" w:sz="4" w:space="0"/>
            </w:tcBorders>
            <w:noWrap w:val="0"/>
            <w:vAlign w:val="center"/>
          </w:tcPr>
          <w:p w14:paraId="7924EB0B">
            <w:pPr>
              <w:widowControl/>
              <w:jc w:val="left"/>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rPr>
              <w:t>用于药品的</w:t>
            </w:r>
            <w:r>
              <w:rPr>
                <w:rFonts w:hint="eastAsia" w:ascii="宋体" w:hAnsi="宋体" w:cs="宋体"/>
                <w:b w:val="0"/>
                <w:bCs/>
                <w:sz w:val="21"/>
                <w:szCs w:val="21"/>
                <w:highlight w:val="none"/>
                <w:lang w:val="en-US" w:eastAsia="zh-CN"/>
              </w:rPr>
              <w:t>阴凉</w:t>
            </w:r>
            <w:r>
              <w:rPr>
                <w:rFonts w:hint="eastAsia" w:ascii="宋体" w:hAnsi="宋体" w:eastAsia="宋体" w:cs="宋体"/>
                <w:kern w:val="0"/>
                <w:sz w:val="21"/>
                <w:szCs w:val="21"/>
                <w:highlight w:val="none"/>
                <w:lang w:val="en-US" w:eastAsia="zh-CN"/>
              </w:rPr>
              <w:t>储存，温控范围</w:t>
            </w:r>
            <w:r>
              <w:rPr>
                <w:rFonts w:hint="default" w:ascii="宋体" w:hAnsi="宋体" w:cs="宋体"/>
                <w:kern w:val="0"/>
                <w:sz w:val="21"/>
                <w:szCs w:val="21"/>
                <w:highlight w:val="none"/>
                <w:lang w:val="en-US" w:eastAsia="zh-CN"/>
              </w:rPr>
              <w:t>8</w:t>
            </w:r>
            <w:r>
              <w:rPr>
                <w:rFonts w:hint="eastAsia" w:ascii="宋体" w:hAnsi="宋体" w:eastAsia="宋体" w:cs="宋体"/>
                <w:kern w:val="0"/>
                <w:sz w:val="21"/>
                <w:szCs w:val="21"/>
                <w:highlight w:val="none"/>
                <w:lang w:val="en-US" w:eastAsia="zh-CN"/>
              </w:rPr>
              <w:t>-</w:t>
            </w:r>
            <w:r>
              <w:rPr>
                <w:rFonts w:hint="default" w:ascii="宋体" w:hAnsi="宋体" w:cs="宋体"/>
                <w:kern w:val="0"/>
                <w:sz w:val="21"/>
                <w:szCs w:val="21"/>
                <w:highlight w:val="none"/>
                <w:lang w:val="en-US" w:eastAsia="zh-CN"/>
              </w:rPr>
              <w:t>20</w:t>
            </w:r>
            <w:r>
              <w:rPr>
                <w:rFonts w:hint="eastAsia" w:ascii="宋体" w:hAnsi="宋体" w:eastAsia="宋体" w:cs="宋体"/>
                <w:kern w:val="0"/>
                <w:sz w:val="21"/>
                <w:szCs w:val="21"/>
                <w:highlight w:val="none"/>
                <w:lang w:val="en-US" w:eastAsia="zh-CN"/>
              </w:rPr>
              <w:t>℃，数字显示，精度</w:t>
            </w:r>
            <w:r>
              <w:rPr>
                <w:rFonts w:hint="default" w:ascii="宋体" w:hAnsi="宋体" w:eastAsia="宋体" w:cs="宋体"/>
                <w:kern w:val="0"/>
                <w:sz w:val="21"/>
                <w:szCs w:val="21"/>
                <w:highlight w:val="none"/>
                <w:lang w:val="en-US" w:eastAsia="zh-CN"/>
              </w:rPr>
              <w:t>0.1</w:t>
            </w:r>
            <w:r>
              <w:rPr>
                <w:rFonts w:hint="eastAsia" w:ascii="宋体" w:hAnsi="宋体" w:eastAsia="宋体" w:cs="宋体"/>
                <w:kern w:val="0"/>
                <w:sz w:val="21"/>
                <w:szCs w:val="21"/>
                <w:highlight w:val="none"/>
                <w:lang w:val="en-US" w:eastAsia="zh-CN"/>
              </w:rPr>
              <w:t>℃；微电脑控制、变频压缩机、风冷设计、内置</w:t>
            </w:r>
            <w:r>
              <w:rPr>
                <w:rFonts w:hint="default" w:ascii="宋体" w:hAnsi="宋体" w:eastAsia="宋体" w:cs="宋体"/>
                <w:kern w:val="0"/>
                <w:sz w:val="21"/>
                <w:szCs w:val="21"/>
                <w:highlight w:val="none"/>
                <w:lang w:val="en-US" w:eastAsia="zh-CN"/>
              </w:rPr>
              <w:t>LED</w:t>
            </w:r>
            <w:r>
              <w:rPr>
                <w:rFonts w:hint="eastAsia" w:ascii="宋体" w:hAnsi="宋体" w:eastAsia="宋体" w:cs="宋体"/>
                <w:kern w:val="0"/>
                <w:sz w:val="21"/>
                <w:szCs w:val="21"/>
                <w:highlight w:val="none"/>
                <w:lang w:val="en-US" w:eastAsia="zh-CN"/>
              </w:rPr>
              <w:t>照明灯，搁架可调整；</w:t>
            </w:r>
            <w:r>
              <w:rPr>
                <w:rFonts w:hint="eastAsia" w:ascii="宋体" w:hAnsi="宋体" w:cs="宋体"/>
                <w:kern w:val="0"/>
                <w:sz w:val="21"/>
                <w:szCs w:val="21"/>
                <w:highlight w:val="none"/>
                <w:lang w:val="en-US" w:eastAsia="zh-CN"/>
              </w:rPr>
              <w:t>中控玻璃门，</w:t>
            </w:r>
            <w:r>
              <w:rPr>
                <w:rFonts w:hint="eastAsia" w:ascii="宋体" w:hAnsi="宋体" w:eastAsia="宋体" w:cs="宋体"/>
                <w:kern w:val="0"/>
                <w:sz w:val="21"/>
                <w:szCs w:val="21"/>
                <w:highlight w:val="none"/>
                <w:lang w:val="en-US" w:eastAsia="zh-CN"/>
              </w:rPr>
              <w:t>有开门、高低温、冷凝器异常等报警功能</w:t>
            </w:r>
            <w:r>
              <w:rPr>
                <w:rFonts w:hint="eastAsia" w:ascii="宋体" w:hAnsi="宋体" w:cs="宋体"/>
                <w:kern w:val="0"/>
                <w:sz w:val="21"/>
                <w:szCs w:val="21"/>
                <w:highlight w:val="none"/>
                <w:lang w:val="en-US" w:eastAsia="zh-CN"/>
              </w:rPr>
              <w:t>。</w:t>
            </w:r>
          </w:p>
        </w:tc>
      </w:tr>
    </w:tbl>
    <w:p w14:paraId="2005269D">
      <w:pPr>
        <w:pStyle w:val="2"/>
        <w:widowControl/>
        <w:shd w:val="clear" w:color="auto" w:fill="FFFFFF"/>
        <w:spacing w:before="30" w:beforeAutospacing="0" w:after="30" w:afterAutospacing="0" w:line="420" w:lineRule="atLeast"/>
        <w:ind w:left="30" w:right="30"/>
        <w:rPr>
          <w:rFonts w:hint="eastAsia" w:ascii="Verdana" w:hAnsi="Verdana" w:eastAsia="宋体" w:cs="Verdana"/>
          <w:kern w:val="2"/>
          <w:shd w:val="clear" w:color="auto" w:fill="FFFFFF"/>
          <w:lang w:eastAsia="zh-CN"/>
        </w:rPr>
      </w:pPr>
      <w:r>
        <w:rPr>
          <w:rFonts w:ascii="Verdana" w:hAnsi="Verdana" w:cs="Verdana"/>
          <w:kern w:val="2"/>
          <w:shd w:val="clear" w:color="auto" w:fill="FFFFFF"/>
        </w:rPr>
        <w:t>一、</w:t>
      </w:r>
      <w:r>
        <w:rPr>
          <w:rFonts w:hint="eastAsia" w:ascii="Verdana" w:hAnsi="Verdana" w:cs="Verdana"/>
          <w:kern w:val="2"/>
          <w:shd w:val="clear" w:color="auto" w:fill="FFFFFF"/>
        </w:rPr>
        <w:t>询价</w:t>
      </w:r>
      <w:r>
        <w:rPr>
          <w:rFonts w:ascii="Verdana" w:hAnsi="Verdana" w:cs="Verdana"/>
          <w:kern w:val="2"/>
          <w:shd w:val="clear" w:color="auto" w:fill="FFFFFF"/>
        </w:rPr>
        <w:t>内容及相关信息</w:t>
      </w:r>
      <w:r>
        <w:rPr>
          <w:rFonts w:hint="eastAsia" w:ascii="Verdana" w:hAnsi="Verdana" w:cs="Verdana"/>
          <w:kern w:val="2"/>
          <w:shd w:val="clear" w:color="auto" w:fill="FFFFFF"/>
          <w:lang w:eastAsia="zh-CN"/>
        </w:rPr>
        <w:t>：</w:t>
      </w:r>
    </w:p>
    <w:p w14:paraId="1DE833BA">
      <w:pPr>
        <w:pStyle w:val="2"/>
        <w:widowControl/>
        <w:shd w:val="clear" w:color="auto" w:fill="FFFFFF"/>
        <w:spacing w:before="30" w:beforeAutospacing="0" w:after="30" w:afterAutospacing="0" w:line="420" w:lineRule="atLeast"/>
        <w:ind w:left="30" w:right="30"/>
        <w:rPr>
          <w:rFonts w:hint="default" w:ascii="Verdana" w:hAnsi="Verdana" w:eastAsia="宋体" w:cs="Verdana"/>
          <w:kern w:val="2"/>
          <w:shd w:val="clear" w:color="auto" w:fill="FFFFFF"/>
          <w:lang w:val="en-US" w:eastAsia="zh-CN"/>
        </w:rPr>
      </w:pPr>
      <w:r>
        <w:rPr>
          <w:rFonts w:hint="eastAsia" w:ascii="Verdana" w:hAnsi="Verdana" w:cs="Verdana"/>
          <w:kern w:val="2"/>
          <w:shd w:val="clear" w:color="auto" w:fill="FFFFFF"/>
        </w:rPr>
        <w:t>（一）预算上限价：</w:t>
      </w:r>
      <w:r>
        <w:rPr>
          <w:rFonts w:hint="eastAsia" w:ascii="Verdana" w:hAnsi="Verdana" w:cs="Verdana"/>
          <w:kern w:val="2"/>
          <w:shd w:val="clear" w:color="auto" w:fill="FFFFFF"/>
          <w:lang w:val="en-US" w:eastAsia="zh-CN"/>
        </w:rPr>
        <w:t>详见表格。</w:t>
      </w:r>
    </w:p>
    <w:p w14:paraId="0689257E">
      <w:pPr>
        <w:pStyle w:val="2"/>
        <w:widowControl/>
        <w:shd w:val="clear" w:color="auto" w:fill="FFFFFF"/>
        <w:spacing w:before="30" w:beforeAutospacing="0" w:after="30" w:afterAutospacing="0" w:line="420" w:lineRule="atLeast"/>
        <w:ind w:left="29" w:leftChars="14" w:right="30"/>
        <w:rPr>
          <w:rFonts w:hint="eastAsia" w:ascii="Verdana" w:hAnsi="Verdana" w:cs="Verdana"/>
          <w:kern w:val="2"/>
          <w:shd w:val="clear" w:color="auto" w:fill="FFFFFF"/>
          <w:lang w:val="en-US" w:eastAsia="zh-CN"/>
        </w:rPr>
      </w:pPr>
      <w:r>
        <w:rPr>
          <w:rFonts w:hint="eastAsia" w:ascii="Verdana" w:hAnsi="Verdana" w:cs="Verdana"/>
          <w:kern w:val="2"/>
          <w:shd w:val="clear" w:color="auto" w:fill="FFFFFF"/>
        </w:rPr>
        <w:t>（二）</w:t>
      </w:r>
      <w:r>
        <w:rPr>
          <w:rFonts w:hint="eastAsia" w:ascii="宋体" w:hAnsi="宋体" w:cs="宋体"/>
          <w:kern w:val="0"/>
          <w:sz w:val="24"/>
          <w:lang w:val="en-US" w:eastAsia="zh-CN"/>
        </w:rPr>
        <w:t>采购需求</w:t>
      </w:r>
      <w:r>
        <w:rPr>
          <w:rFonts w:hint="eastAsia" w:ascii="Verdana" w:hAnsi="Verdana" w:cs="Verdana"/>
          <w:kern w:val="2"/>
          <w:shd w:val="clear" w:color="auto" w:fill="FFFFFF"/>
        </w:rPr>
        <w:t>：</w:t>
      </w:r>
      <w:r>
        <w:rPr>
          <w:rFonts w:hint="eastAsia" w:ascii="Verdana" w:hAnsi="Verdana" w:cs="Verdana"/>
          <w:kern w:val="2"/>
          <w:shd w:val="clear" w:color="auto" w:fill="FFFFFF"/>
          <w:lang w:val="en-US" w:eastAsia="zh-CN"/>
        </w:rPr>
        <w:t>详见表格。</w:t>
      </w:r>
    </w:p>
    <w:p w14:paraId="7236B7A1">
      <w:pPr>
        <w:pStyle w:val="2"/>
        <w:widowControl/>
        <w:shd w:val="clear" w:color="auto" w:fill="FFFFFF"/>
        <w:spacing w:before="30" w:beforeAutospacing="0" w:after="30" w:afterAutospacing="0" w:line="420" w:lineRule="atLeast"/>
        <w:ind w:left="29" w:leftChars="14" w:right="30"/>
        <w:rPr>
          <w:rFonts w:hint="eastAsia" w:ascii="Verdana" w:hAnsi="Verdana" w:cs="Verdana"/>
          <w:kern w:val="2"/>
          <w:shd w:val="clear" w:color="auto" w:fill="FFFFFF"/>
          <w:lang w:val="en-US" w:eastAsia="zh-CN"/>
        </w:rPr>
      </w:pPr>
      <w:r>
        <w:rPr>
          <w:rFonts w:hint="eastAsia" w:ascii="Verdana" w:hAnsi="Verdana" w:cs="Verdana"/>
          <w:kern w:val="2"/>
          <w:shd w:val="clear" w:color="auto" w:fill="FFFFFF"/>
          <w:lang w:val="en-US" w:eastAsia="zh-CN"/>
        </w:rPr>
        <w:t>（三）保修时间要求：</w:t>
      </w:r>
      <w:r>
        <w:rPr>
          <w:rFonts w:hint="eastAsia" w:ascii="Verdana" w:hAnsi="Verdana" w:eastAsia="宋体" w:cs="Verdana"/>
          <w:kern w:val="2"/>
          <w:shd w:val="clear" w:color="auto" w:fill="FFFFFF"/>
          <w:lang w:val="en-US" w:eastAsia="zh-CN"/>
        </w:rPr>
        <w:t>≥3年</w:t>
      </w:r>
      <w:r>
        <w:rPr>
          <w:rFonts w:hint="eastAsia" w:ascii="Verdana" w:hAnsi="Verdana" w:cs="Verdana"/>
          <w:kern w:val="2"/>
          <w:shd w:val="clear" w:color="auto" w:fill="FFFFFF"/>
          <w:lang w:val="en-US" w:eastAsia="zh-CN"/>
        </w:rPr>
        <w:t>。</w:t>
      </w:r>
    </w:p>
    <w:p w14:paraId="5A20A9A2">
      <w:pPr>
        <w:pStyle w:val="2"/>
        <w:widowControl/>
        <w:shd w:val="clear" w:color="auto" w:fill="FFFFFF"/>
        <w:spacing w:before="30" w:beforeAutospacing="0" w:after="30" w:afterAutospacing="0" w:line="420" w:lineRule="atLeast"/>
        <w:ind w:left="29" w:leftChars="14" w:right="30"/>
        <w:rPr>
          <w:rFonts w:hint="default" w:ascii="Verdana" w:hAnsi="Verdana" w:cs="Verdana"/>
          <w:kern w:val="2"/>
          <w:shd w:val="clear" w:color="auto" w:fill="FFFFFF"/>
          <w:lang w:val="en-US" w:eastAsia="zh-CN"/>
        </w:rPr>
      </w:pPr>
      <w:r>
        <w:rPr>
          <w:rFonts w:hint="eastAsia" w:ascii="Verdana" w:hAnsi="Verdana" w:cs="Verdana"/>
          <w:kern w:val="2"/>
          <w:shd w:val="clear" w:color="auto" w:fill="FFFFFF"/>
        </w:rPr>
        <w:t>（</w:t>
      </w:r>
      <w:r>
        <w:rPr>
          <w:rFonts w:hint="eastAsia" w:ascii="Verdana" w:hAnsi="Verdana" w:cs="Verdana"/>
          <w:kern w:val="2"/>
          <w:shd w:val="clear" w:color="auto" w:fill="FFFFFF"/>
          <w:lang w:val="en-US" w:eastAsia="zh-CN"/>
        </w:rPr>
        <w:t>四</w:t>
      </w:r>
      <w:r>
        <w:rPr>
          <w:rFonts w:hint="eastAsia" w:ascii="Verdana" w:hAnsi="Verdana" w:cs="Verdana"/>
          <w:kern w:val="2"/>
          <w:shd w:val="clear" w:color="auto" w:fill="FFFFFF"/>
        </w:rPr>
        <w:t>）</w:t>
      </w:r>
      <w:r>
        <w:rPr>
          <w:rFonts w:hint="default" w:ascii="Verdana" w:hAnsi="Verdana" w:cs="Verdana"/>
          <w:kern w:val="2"/>
          <w:shd w:val="clear" w:color="auto" w:fill="FFFFFF"/>
          <w:lang w:val="en-US" w:eastAsia="zh-CN"/>
        </w:rPr>
        <w:t>4</w:t>
      </w:r>
      <w:r>
        <w:rPr>
          <w:rFonts w:hint="eastAsia" w:ascii="Verdana" w:hAnsi="Verdana" w:cs="Verdana"/>
          <w:kern w:val="2"/>
          <w:shd w:val="clear" w:color="auto" w:fill="FFFFFF"/>
          <w:lang w:eastAsia="zh-CN"/>
        </w:rPr>
        <w:t>台冷藏箱、阴凉柜均需</w:t>
      </w:r>
      <w:r>
        <w:rPr>
          <w:rFonts w:hint="eastAsia" w:ascii="Verdana" w:hAnsi="Verdana" w:cs="Verdana"/>
          <w:kern w:val="2"/>
          <w:shd w:val="clear" w:color="auto" w:fill="FFFFFF"/>
          <w:lang w:val="en-US" w:eastAsia="zh-CN"/>
        </w:rPr>
        <w:t>带智能温湿度记录仪，能接入医院冷链系统，具备</w:t>
      </w:r>
      <w:r>
        <w:rPr>
          <w:rFonts w:hint="default" w:ascii="Verdana" w:hAnsi="Verdana" w:cs="Verdana"/>
          <w:kern w:val="2"/>
          <w:shd w:val="clear" w:color="auto" w:fill="FFFFFF"/>
          <w:lang w:val="en-US" w:eastAsia="zh-CN"/>
        </w:rPr>
        <w:t>24</w:t>
      </w:r>
      <w:r>
        <w:rPr>
          <w:rFonts w:hint="eastAsia" w:ascii="Verdana" w:hAnsi="Verdana" w:cs="Verdana"/>
          <w:kern w:val="2"/>
          <w:shd w:val="clear" w:color="auto" w:fill="FFFFFF"/>
          <w:lang w:val="en-US" w:eastAsia="zh-CN"/>
        </w:rPr>
        <w:t>小时记录功能并可导出数据。其中有效容积≥</w:t>
      </w:r>
      <w:r>
        <w:rPr>
          <w:rFonts w:hint="default" w:ascii="Verdana" w:hAnsi="Verdana" w:cs="Verdana"/>
          <w:kern w:val="2"/>
          <w:shd w:val="clear" w:color="auto" w:fill="FFFFFF"/>
          <w:lang w:val="en-US" w:eastAsia="zh-CN"/>
        </w:rPr>
        <w:t>95</w:t>
      </w:r>
      <w:r>
        <w:rPr>
          <w:rFonts w:hint="eastAsia" w:ascii="Verdana" w:hAnsi="Verdana" w:cs="Verdana"/>
          <w:kern w:val="2"/>
          <w:shd w:val="clear" w:color="auto" w:fill="FFFFFF"/>
          <w:lang w:val="en-US" w:eastAsia="zh-CN"/>
        </w:rPr>
        <w:t>0升</w:t>
      </w:r>
      <w:r>
        <w:rPr>
          <w:rFonts w:hint="eastAsia" w:ascii="Verdana" w:hAnsi="Verdana" w:cs="Verdana"/>
          <w:kern w:val="2"/>
          <w:shd w:val="clear" w:color="auto" w:fill="FFFFFF"/>
          <w:lang w:eastAsia="zh-CN"/>
        </w:rPr>
        <w:t>冷藏箱、阴凉柜需配备</w:t>
      </w:r>
      <w:r>
        <w:rPr>
          <w:rFonts w:hint="default" w:ascii="Verdana" w:hAnsi="Verdana" w:cs="Verdana"/>
          <w:kern w:val="2"/>
          <w:shd w:val="clear" w:color="auto" w:fill="FFFFFF"/>
          <w:lang w:val="en-US" w:eastAsia="zh-CN"/>
        </w:rPr>
        <w:t>UPS</w:t>
      </w:r>
      <w:r>
        <w:rPr>
          <w:rFonts w:hint="eastAsia" w:ascii="Verdana" w:hAnsi="Verdana" w:cs="Verdana"/>
          <w:kern w:val="2"/>
          <w:shd w:val="clear" w:color="auto" w:fill="FFFFFF"/>
          <w:lang w:val="en-US" w:eastAsia="zh-CN"/>
        </w:rPr>
        <w:t>不间断电源，连续供电时间≥</w:t>
      </w:r>
      <w:r>
        <w:rPr>
          <w:rFonts w:hint="default" w:ascii="Verdana" w:hAnsi="Verdana" w:cs="Verdana"/>
          <w:kern w:val="2"/>
          <w:shd w:val="clear" w:color="auto" w:fill="FFFFFF"/>
          <w:lang w:val="en-US" w:eastAsia="zh-CN"/>
        </w:rPr>
        <w:t>2</w:t>
      </w:r>
      <w:r>
        <w:rPr>
          <w:rFonts w:hint="eastAsia" w:ascii="Verdana" w:hAnsi="Verdana" w:cs="Verdana"/>
          <w:kern w:val="2"/>
          <w:shd w:val="clear" w:color="auto" w:fill="FFFFFF"/>
          <w:lang w:val="en-US" w:eastAsia="zh-CN"/>
        </w:rPr>
        <w:t>小时。</w:t>
      </w:r>
    </w:p>
    <w:p w14:paraId="03099272">
      <w:pPr>
        <w:pStyle w:val="2"/>
        <w:widowControl/>
        <w:shd w:val="clear" w:color="auto" w:fill="FFFFFF"/>
        <w:spacing w:before="30" w:beforeAutospacing="0" w:after="30" w:afterAutospacing="0" w:line="420" w:lineRule="atLeast"/>
        <w:ind w:left="30" w:right="30"/>
        <w:rPr>
          <w:rFonts w:hint="eastAsia" w:ascii="Verdana" w:hAnsi="Verdana" w:cs="Verdana"/>
          <w:kern w:val="2"/>
          <w:shd w:val="clear" w:color="auto" w:fill="FFFFFF"/>
          <w:lang w:eastAsia="zh-CN"/>
        </w:rPr>
      </w:pPr>
      <w:r>
        <w:rPr>
          <w:rFonts w:hint="eastAsia" w:ascii="Verdana" w:hAnsi="Verdana" w:cs="Verdana"/>
          <w:kern w:val="2"/>
          <w:shd w:val="clear" w:color="auto" w:fill="FFFFFF"/>
        </w:rPr>
        <w:t>（</w:t>
      </w:r>
      <w:r>
        <w:rPr>
          <w:rFonts w:hint="eastAsia" w:ascii="Verdana" w:hAnsi="Verdana" w:cs="Verdana"/>
          <w:kern w:val="2"/>
          <w:shd w:val="clear" w:color="auto" w:fill="FFFFFF"/>
          <w:lang w:val="en-US" w:eastAsia="zh-CN"/>
        </w:rPr>
        <w:t>五</w:t>
      </w:r>
      <w:r>
        <w:rPr>
          <w:rFonts w:hint="eastAsia" w:ascii="Verdana" w:hAnsi="Verdana" w:cs="Verdana"/>
          <w:kern w:val="2"/>
          <w:shd w:val="clear" w:color="auto" w:fill="FFFFFF"/>
        </w:rPr>
        <w:t>）成交方式：</w:t>
      </w:r>
      <w:r>
        <w:rPr>
          <w:rFonts w:hint="eastAsia" w:ascii="Verdana" w:hAnsi="Verdana" w:cs="Verdana"/>
          <w:kern w:val="2"/>
          <w:shd w:val="clear" w:color="auto" w:fill="FFFFFF"/>
          <w:lang w:eastAsia="zh-CN"/>
        </w:rPr>
        <w:t>符合采购需求的前提下，</w:t>
      </w:r>
      <w:r>
        <w:rPr>
          <w:rFonts w:hint="eastAsia" w:ascii="Verdana" w:hAnsi="Verdana" w:cs="Verdana"/>
          <w:kern w:val="2"/>
          <w:shd w:val="clear" w:color="auto" w:fill="FFFFFF"/>
        </w:rPr>
        <w:t>投标总价最低</w:t>
      </w:r>
      <w:r>
        <w:rPr>
          <w:rFonts w:hint="eastAsia" w:ascii="Verdana" w:hAnsi="Verdana" w:cs="Verdana"/>
          <w:kern w:val="2"/>
          <w:shd w:val="clear" w:color="auto" w:fill="FFFFFF"/>
          <w:lang w:eastAsia="zh-CN"/>
        </w:rPr>
        <w:t>者</w:t>
      </w:r>
      <w:r>
        <w:rPr>
          <w:rFonts w:hint="eastAsia" w:ascii="Verdana" w:hAnsi="Verdana" w:cs="Verdana"/>
          <w:kern w:val="2"/>
          <w:shd w:val="clear" w:color="auto" w:fill="FFFFFF"/>
        </w:rPr>
        <w:t>中标（若投标总价相同，通过抽签确定供应商）</w:t>
      </w:r>
      <w:r>
        <w:rPr>
          <w:rFonts w:hint="eastAsia" w:ascii="Verdana" w:hAnsi="Verdana" w:cs="Verdana"/>
          <w:kern w:val="2"/>
          <w:shd w:val="clear" w:color="auto" w:fill="FFFFFF"/>
          <w:lang w:eastAsia="zh-CN"/>
        </w:rPr>
        <w:t>。</w:t>
      </w:r>
    </w:p>
    <w:p w14:paraId="3A32985C">
      <w:pPr>
        <w:pStyle w:val="2"/>
        <w:widowControl/>
        <w:shd w:val="clear" w:color="auto" w:fill="FFFFFF"/>
        <w:spacing w:before="30" w:beforeAutospacing="0" w:after="30" w:afterAutospacing="0" w:line="420" w:lineRule="atLeast"/>
        <w:ind w:left="30" w:right="30"/>
        <w:rPr>
          <w:rFonts w:hint="default" w:ascii="Verdana" w:hAnsi="Verdana" w:cs="Verdana"/>
          <w:kern w:val="2"/>
          <w:shd w:val="clear" w:color="auto" w:fill="FFFFFF"/>
          <w:lang w:val="en-US" w:eastAsia="zh-CN"/>
        </w:rPr>
      </w:pPr>
      <w:r>
        <w:rPr>
          <w:rFonts w:hint="eastAsia" w:ascii="Verdana" w:hAnsi="Verdana" w:cs="Verdana"/>
          <w:kern w:val="2"/>
          <w:shd w:val="clear" w:color="auto" w:fill="FFFFFF"/>
          <w:lang w:eastAsia="zh-CN"/>
        </w:rPr>
        <w:t>（</w:t>
      </w:r>
      <w:r>
        <w:rPr>
          <w:rFonts w:hint="eastAsia" w:ascii="Verdana" w:hAnsi="Verdana" w:cs="Verdana"/>
          <w:kern w:val="2"/>
          <w:shd w:val="clear" w:color="auto" w:fill="FFFFFF"/>
          <w:lang w:val="en-US" w:eastAsia="zh-CN"/>
        </w:rPr>
        <w:t>六</w:t>
      </w:r>
      <w:r>
        <w:rPr>
          <w:rFonts w:hint="eastAsia" w:ascii="Verdana" w:hAnsi="Verdana" w:cs="Verdana"/>
          <w:kern w:val="2"/>
          <w:shd w:val="clear" w:color="auto" w:fill="FFFFFF"/>
          <w:lang w:eastAsia="zh-CN"/>
        </w:rPr>
        <w:t>）</w:t>
      </w:r>
      <w:r>
        <w:rPr>
          <w:rFonts w:hint="eastAsia" w:ascii="Verdana" w:hAnsi="Verdana" w:cs="Verdana"/>
          <w:kern w:val="2"/>
          <w:shd w:val="clear" w:color="auto" w:fill="FFFFFF"/>
          <w:lang w:val="en-US" w:eastAsia="zh-CN"/>
        </w:rPr>
        <w:t>采购方式：本次询价项目确定供应商后，通过政采云平台实施采购。</w:t>
      </w:r>
    </w:p>
    <w:p w14:paraId="07F5C3C8">
      <w:pPr>
        <w:pStyle w:val="2"/>
        <w:widowControl/>
        <w:shd w:val="clear" w:color="auto" w:fill="FFFFFF"/>
        <w:spacing w:before="30" w:beforeAutospacing="0" w:after="30" w:afterAutospacing="0" w:line="420" w:lineRule="atLeast"/>
        <w:ind w:left="30" w:right="30"/>
        <w:rPr>
          <w:rFonts w:hint="eastAsia" w:ascii="Verdana" w:hAnsi="Verdana" w:cs="Verdana"/>
          <w:kern w:val="2"/>
          <w:shd w:val="clear" w:color="auto" w:fill="FFFFFF"/>
        </w:rPr>
      </w:pPr>
      <w:r>
        <w:rPr>
          <w:rFonts w:ascii="Verdana" w:hAnsi="Verdana" w:cs="Verdana"/>
          <w:kern w:val="2"/>
          <w:shd w:val="clear" w:color="auto" w:fill="FFFFFF"/>
        </w:rPr>
        <w:t>二、</w:t>
      </w:r>
      <w:r>
        <w:rPr>
          <w:rFonts w:hint="eastAsia" w:ascii="Verdana" w:hAnsi="Verdana" w:cs="Verdana"/>
          <w:kern w:val="2"/>
          <w:shd w:val="clear" w:color="auto" w:fill="FFFFFF"/>
        </w:rPr>
        <w:t>截止</w:t>
      </w:r>
      <w:r>
        <w:rPr>
          <w:rFonts w:ascii="Verdana" w:hAnsi="Verdana" w:cs="Verdana"/>
          <w:kern w:val="2"/>
          <w:shd w:val="clear" w:color="auto" w:fill="FFFFFF"/>
        </w:rPr>
        <w:t>时间及相关注意事项：</w:t>
      </w:r>
    </w:p>
    <w:p w14:paraId="37D9B866">
      <w:pPr>
        <w:pStyle w:val="2"/>
        <w:widowControl/>
        <w:shd w:val="clear" w:color="auto" w:fill="FFFFFF"/>
        <w:spacing w:before="30" w:beforeAutospacing="0" w:after="30" w:afterAutospacing="0" w:line="420" w:lineRule="atLeast"/>
        <w:ind w:left="30" w:right="30"/>
        <w:rPr>
          <w:rFonts w:hint="eastAsia" w:ascii="Verdana" w:hAnsi="Verdana" w:cs="Verdana"/>
          <w:kern w:val="2"/>
          <w:shd w:val="clear" w:color="auto" w:fill="FFFFFF"/>
        </w:rPr>
      </w:pPr>
      <w:r>
        <w:rPr>
          <w:rFonts w:hint="eastAsia" w:ascii="Verdana" w:hAnsi="Verdana" w:cs="Verdana"/>
          <w:kern w:val="2"/>
          <w:shd w:val="clear" w:color="auto" w:fill="FFFFFF"/>
        </w:rPr>
        <w:t>（一）时间：202</w:t>
      </w:r>
      <w:r>
        <w:rPr>
          <w:rFonts w:hint="eastAsia" w:ascii="Verdana" w:hAnsi="Verdana" w:cs="Verdana"/>
          <w:kern w:val="2"/>
          <w:shd w:val="clear" w:color="auto" w:fill="FFFFFF"/>
          <w:lang w:val="en-US" w:eastAsia="zh-CN"/>
        </w:rPr>
        <w:t>5</w:t>
      </w:r>
      <w:r>
        <w:rPr>
          <w:rFonts w:hint="eastAsia" w:ascii="Verdana" w:hAnsi="Verdana" w:cs="Verdana"/>
          <w:kern w:val="2"/>
          <w:shd w:val="clear" w:color="auto" w:fill="FFFFFF"/>
        </w:rPr>
        <w:t>年</w:t>
      </w:r>
      <w:r>
        <w:rPr>
          <w:rFonts w:hint="default" w:ascii="Verdana" w:hAnsi="Verdana" w:cs="Verdana"/>
          <w:kern w:val="2"/>
          <w:shd w:val="clear" w:color="auto" w:fill="FFFFFF"/>
          <w:lang w:val="en-US" w:eastAsia="zh-CN"/>
        </w:rPr>
        <w:t>7</w:t>
      </w:r>
      <w:r>
        <w:rPr>
          <w:rFonts w:hint="eastAsia" w:ascii="Verdana" w:hAnsi="Verdana" w:cs="Verdana"/>
          <w:kern w:val="2"/>
          <w:shd w:val="clear" w:color="auto" w:fill="FFFFFF"/>
        </w:rPr>
        <w:t>月</w:t>
      </w:r>
      <w:r>
        <w:rPr>
          <w:rFonts w:hint="default" w:ascii="Verdana" w:hAnsi="Verdana" w:cs="Verdana"/>
          <w:kern w:val="2"/>
          <w:shd w:val="clear" w:color="auto" w:fill="FFFFFF"/>
          <w:lang w:val="en-US" w:eastAsia="zh-CN"/>
        </w:rPr>
        <w:t>25</w:t>
      </w:r>
      <w:r>
        <w:rPr>
          <w:rFonts w:hint="eastAsia" w:ascii="Verdana" w:hAnsi="Verdana" w:cs="Verdana"/>
          <w:kern w:val="2"/>
          <w:shd w:val="clear" w:color="auto" w:fill="FFFFFF"/>
          <w:lang w:val="en-US" w:eastAsia="zh-CN"/>
        </w:rPr>
        <w:t xml:space="preserve"> </w:t>
      </w:r>
      <w:r>
        <w:rPr>
          <w:rFonts w:hint="eastAsia" w:ascii="Verdana" w:hAnsi="Verdana" w:cs="Verdana"/>
          <w:kern w:val="2"/>
          <w:shd w:val="clear" w:color="auto" w:fill="FFFFFF"/>
        </w:rPr>
        <w:t>日至202</w:t>
      </w:r>
      <w:r>
        <w:rPr>
          <w:rFonts w:hint="eastAsia" w:ascii="Verdana" w:hAnsi="Verdana" w:cs="Verdana"/>
          <w:kern w:val="2"/>
          <w:shd w:val="clear" w:color="auto" w:fill="FFFFFF"/>
          <w:lang w:val="en-US" w:eastAsia="zh-CN"/>
        </w:rPr>
        <w:t>5</w:t>
      </w:r>
      <w:r>
        <w:rPr>
          <w:rFonts w:hint="eastAsia" w:ascii="Verdana" w:hAnsi="Verdana" w:cs="Verdana"/>
          <w:kern w:val="2"/>
          <w:shd w:val="clear" w:color="auto" w:fill="FFFFFF"/>
        </w:rPr>
        <w:t>年</w:t>
      </w:r>
      <w:r>
        <w:rPr>
          <w:rFonts w:hint="default" w:ascii="Verdana" w:hAnsi="Verdana" w:cs="Verdana"/>
          <w:kern w:val="2"/>
          <w:shd w:val="clear" w:color="auto" w:fill="FFFFFF"/>
          <w:lang w:val="en-US" w:eastAsia="zh-CN"/>
        </w:rPr>
        <w:t>7</w:t>
      </w:r>
      <w:r>
        <w:rPr>
          <w:rFonts w:hint="eastAsia" w:ascii="Verdana" w:hAnsi="Verdana" w:cs="Verdana"/>
          <w:kern w:val="2"/>
          <w:shd w:val="clear" w:color="auto" w:fill="FFFFFF"/>
        </w:rPr>
        <w:t>月</w:t>
      </w:r>
      <w:r>
        <w:rPr>
          <w:rFonts w:hint="eastAsia" w:ascii="Verdana" w:hAnsi="Verdana" w:cs="Verdana"/>
          <w:kern w:val="2"/>
          <w:shd w:val="clear" w:color="auto" w:fill="FFFFFF"/>
          <w:lang w:val="en-US" w:eastAsia="zh-CN"/>
        </w:rPr>
        <w:t>31</w:t>
      </w:r>
      <w:r>
        <w:rPr>
          <w:rFonts w:hint="eastAsia" w:ascii="Verdana" w:hAnsi="Verdana" w:cs="Verdana"/>
          <w:kern w:val="2"/>
          <w:shd w:val="clear" w:color="auto" w:fill="FFFFFF"/>
        </w:rPr>
        <w:t>日上午8:00-11:30；下午14:00-17:00（双休日及法定节假日除外）。</w:t>
      </w:r>
    </w:p>
    <w:p w14:paraId="6E00FE6A">
      <w:pPr>
        <w:pStyle w:val="2"/>
        <w:widowControl/>
        <w:shd w:val="clear" w:color="auto" w:fill="FFFFFF"/>
        <w:spacing w:before="30" w:beforeAutospacing="0" w:after="30" w:afterAutospacing="0" w:line="420" w:lineRule="atLeast"/>
        <w:ind w:left="30" w:right="30"/>
        <w:rPr>
          <w:rFonts w:hint="eastAsia" w:ascii="Verdana" w:hAnsi="Verdana" w:cs="Verdana"/>
          <w:kern w:val="2"/>
          <w:shd w:val="clear" w:color="auto" w:fill="FFFFFF"/>
        </w:rPr>
      </w:pPr>
      <w:r>
        <w:rPr>
          <w:rFonts w:hint="eastAsia" w:ascii="Verdana" w:hAnsi="Verdana" w:cs="Verdana"/>
          <w:kern w:val="2"/>
          <w:shd w:val="clear" w:color="auto" w:fill="FFFFFF"/>
        </w:rPr>
        <w:t>（二）地点：绍兴市越城区胜利西路1234号绍兴市第七人民医院行政楼218设备科办公室。</w:t>
      </w:r>
    </w:p>
    <w:p w14:paraId="6B3D4E89">
      <w:pPr>
        <w:pStyle w:val="2"/>
        <w:widowControl/>
        <w:shd w:val="clear" w:color="auto" w:fill="FFFFFF"/>
        <w:spacing w:before="30" w:beforeAutospacing="0" w:after="30" w:afterAutospacing="0" w:line="420" w:lineRule="atLeast"/>
        <w:ind w:right="30"/>
        <w:rPr>
          <w:rFonts w:hint="eastAsia" w:ascii="Verdana" w:hAnsi="Verdana" w:cs="Verdana"/>
          <w:kern w:val="2"/>
          <w:shd w:val="clear" w:color="auto" w:fill="FFFFFF"/>
        </w:rPr>
      </w:pPr>
      <w:r>
        <w:rPr>
          <w:rFonts w:hint="eastAsia" w:ascii="Verdana" w:hAnsi="Verdana" w:cs="Verdana"/>
          <w:kern w:val="2"/>
          <w:shd w:val="clear" w:color="auto" w:fill="FFFFFF"/>
        </w:rPr>
        <w:t>（三）</w:t>
      </w:r>
      <w:r>
        <w:rPr>
          <w:rFonts w:hint="eastAsia" w:ascii="微软雅黑" w:hAnsi="微软雅黑" w:eastAsia="微软雅黑"/>
          <w:color w:val="171A1D"/>
          <w:sz w:val="21"/>
          <w:szCs w:val="21"/>
          <w:shd w:val="clear" w:color="auto" w:fill="FFFFFF"/>
        </w:rPr>
        <w:t xml:space="preserve"> </w:t>
      </w:r>
      <w:r>
        <w:rPr>
          <w:rFonts w:hint="eastAsia" w:ascii="Verdana" w:hAnsi="Verdana" w:cs="Verdana"/>
          <w:kern w:val="2"/>
          <w:shd w:val="clear" w:color="auto" w:fill="FFFFFF"/>
        </w:rPr>
        <w:t>供货商资质要求：符合《中华人民共和国政府采购法》第二十二条之供应商资格规定；未被列入失信被执行人、重大税收违法案件当事人名单和政府采购严重违法失信行为记录名单的供应商。</w:t>
      </w:r>
    </w:p>
    <w:p w14:paraId="4A55E535">
      <w:pPr>
        <w:pStyle w:val="2"/>
        <w:widowControl/>
        <w:shd w:val="clear" w:color="auto" w:fill="FFFFFF"/>
        <w:spacing w:before="30" w:beforeAutospacing="0" w:after="30" w:afterAutospacing="0" w:line="420" w:lineRule="atLeast"/>
        <w:ind w:right="30"/>
        <w:rPr>
          <w:rFonts w:hint="default" w:ascii="Verdana" w:hAnsi="Verdana" w:eastAsia="宋体" w:cs="Verdana"/>
          <w:kern w:val="2"/>
          <w:shd w:val="clear" w:color="auto" w:fill="FFFFFF"/>
          <w:lang w:val="en-US" w:eastAsia="zh-CN"/>
        </w:rPr>
      </w:pPr>
      <w:r>
        <w:rPr>
          <w:rFonts w:hint="eastAsia" w:ascii="Verdana" w:hAnsi="Verdana" w:cs="Verdana"/>
          <w:kern w:val="2"/>
          <w:shd w:val="clear" w:color="auto" w:fill="FFFFFF"/>
        </w:rPr>
        <w:t>（四）需提供以下资料：营业执照复印件、附件1、附件2、法人代表授权书、法定代表人</w:t>
      </w:r>
      <w:r>
        <w:rPr>
          <w:rFonts w:hint="eastAsia" w:ascii="Verdana" w:hAnsi="Verdana" w:cs="Verdana"/>
          <w:kern w:val="2"/>
          <w:shd w:val="clear" w:color="auto" w:fill="FFFFFF"/>
          <w:lang w:val="en-US" w:eastAsia="zh-CN"/>
        </w:rPr>
        <w:t>和</w:t>
      </w:r>
      <w:r>
        <w:rPr>
          <w:rFonts w:hint="eastAsia" w:ascii="Verdana" w:hAnsi="Verdana" w:cs="Verdana"/>
          <w:kern w:val="2"/>
          <w:shd w:val="clear" w:color="auto" w:fill="FFFFFF"/>
        </w:rPr>
        <w:t>其授权代表身份证正反面复印件</w:t>
      </w:r>
      <w:r>
        <w:rPr>
          <w:rFonts w:hint="eastAsia" w:ascii="Verdana" w:hAnsi="Verdana" w:cs="Verdana"/>
          <w:kern w:val="2"/>
          <w:shd w:val="clear" w:color="auto" w:fill="FFFFFF"/>
          <w:lang w:eastAsia="zh-CN"/>
        </w:rPr>
        <w:t>、</w:t>
      </w:r>
      <w:r>
        <w:rPr>
          <w:rFonts w:hint="eastAsia" w:ascii="Verdana" w:hAnsi="Verdana" w:cs="Verdana"/>
          <w:kern w:val="2"/>
          <w:shd w:val="clear" w:color="auto" w:fill="FFFFFF"/>
          <w:lang w:val="en-US" w:eastAsia="zh-CN"/>
        </w:rPr>
        <w:t>相关设备参数</w:t>
      </w:r>
      <w:r>
        <w:rPr>
          <w:rFonts w:hint="eastAsia" w:ascii="Verdana" w:hAnsi="Verdana" w:cs="Verdana"/>
          <w:kern w:val="2"/>
          <w:shd w:val="clear" w:color="auto" w:fill="FFFFFF"/>
        </w:rPr>
        <w:t>，</w:t>
      </w:r>
      <w:r>
        <w:rPr>
          <w:rFonts w:hint="eastAsia" w:ascii="Verdana" w:hAnsi="Verdana" w:cs="Verdana"/>
          <w:kern w:val="2"/>
          <w:shd w:val="clear" w:color="auto" w:fill="FFFFFF"/>
          <w:lang w:val="en-US" w:eastAsia="zh-CN"/>
        </w:rPr>
        <w:t>相关医疗设备注册证及厂家授权，</w:t>
      </w:r>
      <w:r>
        <w:rPr>
          <w:rFonts w:hint="eastAsia" w:ascii="Verdana" w:hAnsi="Verdana" w:eastAsia="宋体" w:cs="Verdana"/>
          <w:kern w:val="2"/>
          <w:shd w:val="clear" w:color="auto" w:fill="FFFFFF"/>
        </w:rPr>
        <w:t>以上</w:t>
      </w:r>
      <w:r>
        <w:rPr>
          <w:rFonts w:hint="eastAsia" w:ascii="Verdana" w:hAnsi="Verdana" w:eastAsia="宋体" w:cs="Verdana"/>
          <w:kern w:val="2"/>
          <w:shd w:val="clear" w:color="auto" w:fill="FFFFFF"/>
          <w:lang w:eastAsia="zh-CN"/>
        </w:rPr>
        <w:t>询价</w:t>
      </w:r>
      <w:r>
        <w:rPr>
          <w:rFonts w:hint="eastAsia" w:ascii="Verdana" w:hAnsi="Verdana" w:eastAsia="宋体" w:cs="Verdana"/>
          <w:kern w:val="2"/>
          <w:shd w:val="clear" w:color="auto" w:fill="FFFFFF"/>
        </w:rPr>
        <w:t>文件</w:t>
      </w:r>
      <w:r>
        <w:rPr>
          <w:rFonts w:hint="eastAsia" w:ascii="Verdana" w:hAnsi="Verdana" w:eastAsia="宋体" w:cs="Verdana"/>
          <w:kern w:val="2"/>
          <w:shd w:val="clear" w:color="auto" w:fill="FFFFFF"/>
          <w:lang w:val="en-US" w:eastAsia="zh-CN"/>
        </w:rPr>
        <w:t>一</w:t>
      </w:r>
      <w:r>
        <w:rPr>
          <w:rFonts w:hint="eastAsia" w:ascii="Verdana" w:hAnsi="Verdana" w:eastAsia="宋体" w:cs="Verdana"/>
          <w:kern w:val="2"/>
          <w:shd w:val="clear" w:color="auto" w:fill="FFFFFF"/>
          <w:lang w:eastAsia="zh-CN"/>
        </w:rPr>
        <w:t>正</w:t>
      </w:r>
      <w:r>
        <w:rPr>
          <w:rFonts w:hint="eastAsia" w:ascii="Verdana" w:hAnsi="Verdana" w:eastAsia="宋体" w:cs="Verdana"/>
          <w:kern w:val="2"/>
          <w:shd w:val="clear" w:color="auto" w:fill="FFFFFF"/>
          <w:lang w:val="en-US" w:eastAsia="zh-CN"/>
        </w:rPr>
        <w:t>三副</w:t>
      </w:r>
      <w:r>
        <w:rPr>
          <w:rFonts w:hint="eastAsia" w:ascii="Verdana" w:hAnsi="Verdana" w:cs="Verdana"/>
          <w:kern w:val="2"/>
          <w:shd w:val="clear" w:color="auto" w:fill="FFFFFF"/>
          <w:lang w:val="en-US" w:eastAsia="zh-CN"/>
        </w:rPr>
        <w:t>，</w:t>
      </w:r>
      <w:r>
        <w:rPr>
          <w:rFonts w:hint="eastAsia" w:ascii="Verdana" w:hAnsi="Verdana" w:cs="Verdana"/>
          <w:kern w:val="2"/>
          <w:shd w:val="clear" w:color="auto" w:fill="FFFFFF"/>
        </w:rPr>
        <w:t>需放置于全密封的文件袋中，</w:t>
      </w:r>
      <w:r>
        <w:rPr>
          <w:rFonts w:hint="eastAsia" w:ascii="Verdana" w:hAnsi="Verdana" w:cs="Verdana"/>
          <w:kern w:val="2"/>
          <w:shd w:val="clear" w:color="auto" w:fill="FFFFFF"/>
          <w:lang w:val="en-US" w:eastAsia="zh-CN"/>
        </w:rPr>
        <w:t>密封袋封面需写明所投项目编号，</w:t>
      </w:r>
      <w:r>
        <w:rPr>
          <w:rFonts w:hint="eastAsia" w:ascii="Verdana" w:hAnsi="Verdana" w:cs="Verdana"/>
          <w:kern w:val="2"/>
          <w:shd w:val="clear" w:color="auto" w:fill="FFFFFF"/>
        </w:rPr>
        <w:t>密封处需加盖单位公章</w:t>
      </w:r>
      <w:r>
        <w:rPr>
          <w:rFonts w:hint="eastAsia" w:ascii="Verdana" w:hAnsi="Verdana" w:cs="Verdana"/>
          <w:kern w:val="2"/>
          <w:shd w:val="clear" w:color="auto" w:fill="FFFFFF"/>
          <w:lang w:eastAsia="zh-CN"/>
        </w:rPr>
        <w:t>，</w:t>
      </w:r>
      <w:r>
        <w:rPr>
          <w:rFonts w:hint="eastAsia" w:ascii="Verdana" w:hAnsi="Verdana" w:cs="Verdana"/>
          <w:kern w:val="2"/>
          <w:shd w:val="clear" w:color="auto" w:fill="FFFFFF"/>
          <w:lang w:val="en-US" w:eastAsia="zh-CN"/>
        </w:rPr>
        <w:t>若投多个项目需分开密封装袋</w:t>
      </w:r>
      <w:r>
        <w:rPr>
          <w:rFonts w:hint="eastAsia" w:ascii="Verdana" w:hAnsi="Verdana" w:cs="Verdana"/>
          <w:kern w:val="2"/>
          <w:shd w:val="clear" w:color="auto" w:fill="FFFFFF"/>
        </w:rPr>
        <w:t>。</w:t>
      </w:r>
    </w:p>
    <w:p w14:paraId="5EEC7054">
      <w:pPr>
        <w:pStyle w:val="2"/>
        <w:widowControl/>
        <w:shd w:val="clear" w:color="auto" w:fill="FFFFFF"/>
        <w:spacing w:before="30" w:beforeAutospacing="0" w:after="30" w:afterAutospacing="0" w:line="420" w:lineRule="atLeast"/>
        <w:ind w:right="30"/>
        <w:rPr>
          <w:rFonts w:hint="eastAsia" w:ascii="Verdana" w:hAnsi="Verdana" w:cs="Verdana"/>
          <w:kern w:val="2"/>
          <w:shd w:val="clear" w:color="auto" w:fill="FFFFFF"/>
        </w:rPr>
      </w:pPr>
      <w:r>
        <w:rPr>
          <w:rFonts w:hint="eastAsia" w:ascii="Verdana" w:hAnsi="Verdana" w:cs="Verdana"/>
          <w:kern w:val="2"/>
          <w:shd w:val="clear" w:color="auto" w:fill="FFFFFF"/>
        </w:rPr>
        <w:t>（五）接收人：周梦园，联系电话：0575-85397728。</w:t>
      </w:r>
    </w:p>
    <w:p w14:paraId="2293E938">
      <w:pPr>
        <w:pStyle w:val="2"/>
        <w:widowControl/>
        <w:shd w:val="clear" w:color="auto" w:fill="FFFFFF"/>
        <w:spacing w:before="30" w:beforeAutospacing="0" w:after="30" w:afterAutospacing="0" w:line="420" w:lineRule="atLeast"/>
        <w:ind w:left="30" w:right="30"/>
        <w:rPr>
          <w:rFonts w:ascii="Verdana" w:hAnsi="Verdana" w:cs="Verdana"/>
          <w:kern w:val="2"/>
          <w:shd w:val="clear" w:color="auto" w:fill="FFFFFF"/>
        </w:rPr>
      </w:pPr>
      <w:r>
        <w:rPr>
          <w:rFonts w:ascii="Verdana" w:hAnsi="Verdana" w:cs="Verdana"/>
          <w:kern w:val="2"/>
          <w:shd w:val="clear" w:color="auto" w:fill="FFFFFF"/>
        </w:rPr>
        <w:t>三、信息发布网站：</w:t>
      </w:r>
    </w:p>
    <w:p w14:paraId="54B58CDC">
      <w:pPr>
        <w:pStyle w:val="2"/>
        <w:widowControl/>
        <w:shd w:val="clear" w:color="auto" w:fill="FFFFFF"/>
        <w:spacing w:before="30" w:beforeAutospacing="0" w:after="30" w:afterAutospacing="0" w:line="420" w:lineRule="atLeast"/>
        <w:ind w:left="30" w:right="30" w:firstLine="480" w:firstLineChars="200"/>
        <w:rPr>
          <w:rFonts w:hint="eastAsia" w:ascii="Verdana" w:hAnsi="Verdana" w:cs="Verdana"/>
          <w:kern w:val="2"/>
          <w:shd w:val="clear" w:color="auto" w:fill="FFFFFF"/>
        </w:rPr>
      </w:pPr>
      <w:r>
        <w:rPr>
          <w:rFonts w:ascii="Verdana" w:hAnsi="Verdana" w:cs="Verdana"/>
          <w:kern w:val="2"/>
          <w:shd w:val="clear" w:color="auto" w:fill="FFFFFF"/>
        </w:rPr>
        <w:t>https://www.sxdqyy.com/</w:t>
      </w:r>
    </w:p>
    <w:p w14:paraId="7A8021DA">
      <w:pPr>
        <w:pStyle w:val="2"/>
        <w:widowControl/>
        <w:shd w:val="clear" w:color="auto" w:fill="FFFFFF"/>
        <w:spacing w:before="30" w:beforeAutospacing="0" w:after="30" w:afterAutospacing="0" w:line="420" w:lineRule="atLeast"/>
        <w:ind w:left="30" w:right="30"/>
        <w:rPr>
          <w:rFonts w:ascii="Verdana" w:hAnsi="Verdana" w:cs="Verdana"/>
          <w:kern w:val="2"/>
          <w:shd w:val="clear" w:color="auto" w:fill="FFFFFF"/>
        </w:rPr>
        <w:sectPr>
          <w:pgSz w:w="16838" w:h="11906" w:orient="landscape"/>
          <w:pgMar w:top="1800" w:right="1440" w:bottom="1800" w:left="1440" w:header="851" w:footer="992" w:gutter="0"/>
          <w:cols w:space="720" w:num="1"/>
          <w:docGrid w:type="lines" w:linePitch="312" w:charSpace="0"/>
        </w:sectPr>
      </w:pPr>
    </w:p>
    <w:p w14:paraId="7828A876">
      <w:pPr>
        <w:pStyle w:val="5"/>
        <w:ind w:firstLine="0" w:firstLineChars="0"/>
        <w:rPr>
          <w:rFonts w:hint="eastAsia" w:ascii="仿宋" w:hAnsi="仿宋" w:eastAsia="仿宋" w:cs="仿宋"/>
          <w:b/>
        </w:rPr>
      </w:pPr>
      <w:r>
        <w:rPr>
          <w:rFonts w:hint="eastAsia" w:ascii="仿宋" w:hAnsi="仿宋" w:eastAsia="仿宋" w:cs="仿宋"/>
          <w:b/>
        </w:rPr>
        <w:t>附件1：</w:t>
      </w:r>
    </w:p>
    <w:p w14:paraId="67F11902">
      <w:pPr>
        <w:pStyle w:val="5"/>
        <w:ind w:firstLine="0" w:firstLineChars="0"/>
        <w:jc w:val="center"/>
        <w:rPr>
          <w:rFonts w:hint="eastAsia"/>
          <w:b/>
          <w:bCs/>
          <w:sz w:val="36"/>
          <w:szCs w:val="36"/>
        </w:rPr>
      </w:pPr>
    </w:p>
    <w:p w14:paraId="1AFBA7C2">
      <w:pPr>
        <w:pStyle w:val="5"/>
        <w:ind w:firstLine="0" w:firstLineChars="0"/>
        <w:jc w:val="center"/>
        <w:rPr>
          <w:rFonts w:hint="eastAsia"/>
          <w:b/>
          <w:bCs/>
          <w:sz w:val="36"/>
          <w:szCs w:val="36"/>
        </w:rPr>
      </w:pPr>
      <w:r>
        <w:rPr>
          <w:rFonts w:hint="eastAsia" w:eastAsia="宋体"/>
          <w:b/>
          <w:bCs/>
          <w:sz w:val="36"/>
          <w:szCs w:val="36"/>
          <w:lang w:val="en-US" w:eastAsia="zh-CN"/>
        </w:rPr>
        <w:t>医用</w:t>
      </w:r>
      <w:r>
        <w:rPr>
          <w:rFonts w:hint="eastAsia"/>
          <w:b/>
          <w:bCs/>
          <w:sz w:val="36"/>
          <w:szCs w:val="36"/>
          <w:lang w:val="en-US" w:eastAsia="zh-CN"/>
        </w:rPr>
        <w:t>冷藏箱、阴凉柜</w:t>
      </w:r>
      <w:r>
        <w:rPr>
          <w:rFonts w:hint="eastAsia" w:eastAsia="宋体"/>
          <w:b/>
          <w:bCs/>
          <w:sz w:val="36"/>
          <w:szCs w:val="36"/>
          <w:lang w:val="en-US" w:eastAsia="zh-CN"/>
        </w:rPr>
        <w:t>询价采购</w:t>
      </w:r>
      <w:r>
        <w:rPr>
          <w:rFonts w:hint="eastAsia"/>
          <w:b/>
          <w:bCs/>
          <w:sz w:val="36"/>
          <w:szCs w:val="36"/>
        </w:rPr>
        <w:t>项目投标价</w:t>
      </w:r>
    </w:p>
    <w:p w14:paraId="02B5657B">
      <w:pPr>
        <w:pStyle w:val="5"/>
        <w:ind w:firstLine="0" w:firstLineChars="0"/>
        <w:jc w:val="center"/>
        <w:rPr>
          <w:rFonts w:hint="eastAsia"/>
          <w:b/>
          <w:bCs/>
          <w:sz w:val="22"/>
          <w:szCs w:val="22"/>
        </w:rPr>
      </w:pPr>
    </w:p>
    <w:tbl>
      <w:tblPr>
        <w:tblStyle w:val="3"/>
        <w:tblW w:w="9554" w:type="dxa"/>
        <w:jc w:val="center"/>
        <w:tblLayout w:type="fixed"/>
        <w:tblCellMar>
          <w:top w:w="0" w:type="dxa"/>
          <w:left w:w="108" w:type="dxa"/>
          <w:bottom w:w="0" w:type="dxa"/>
          <w:right w:w="108" w:type="dxa"/>
        </w:tblCellMar>
      </w:tblPr>
      <w:tblGrid>
        <w:gridCol w:w="705"/>
        <w:gridCol w:w="1028"/>
        <w:gridCol w:w="945"/>
        <w:gridCol w:w="945"/>
        <w:gridCol w:w="1537"/>
        <w:gridCol w:w="1276"/>
        <w:gridCol w:w="1559"/>
        <w:gridCol w:w="1559"/>
      </w:tblGrid>
      <w:tr w14:paraId="3ADDEE55">
        <w:tblPrEx>
          <w:tblCellMar>
            <w:top w:w="0" w:type="dxa"/>
            <w:left w:w="108" w:type="dxa"/>
            <w:bottom w:w="0" w:type="dxa"/>
            <w:right w:w="108" w:type="dxa"/>
          </w:tblCellMar>
        </w:tblPrEx>
        <w:trPr>
          <w:trHeight w:val="720" w:hRule="atLeast"/>
          <w:jc w:val="center"/>
        </w:trPr>
        <w:tc>
          <w:tcPr>
            <w:tcW w:w="705" w:type="dxa"/>
            <w:tcBorders>
              <w:top w:val="single" w:color="000000" w:sz="4" w:space="0"/>
              <w:left w:val="single" w:color="000000" w:sz="4" w:space="0"/>
              <w:bottom w:val="single" w:color="000000" w:sz="4" w:space="0"/>
              <w:right w:val="single" w:color="000000" w:sz="4" w:space="0"/>
            </w:tcBorders>
            <w:noWrap/>
            <w:vAlign w:val="center"/>
          </w:tcPr>
          <w:p w14:paraId="2DD3E529">
            <w:pPr>
              <w:widowControl/>
              <w:jc w:val="center"/>
              <w:textAlignment w:val="center"/>
              <w:rPr>
                <w:rFonts w:ascii="仿宋" w:hAnsi="仿宋" w:eastAsia="仿宋" w:cs="仿宋"/>
                <w:b/>
                <w:bCs/>
                <w:sz w:val="24"/>
              </w:rPr>
            </w:pPr>
            <w:r>
              <w:rPr>
                <w:rFonts w:hint="eastAsia" w:ascii="仿宋" w:hAnsi="仿宋" w:eastAsia="仿宋" w:cs="仿宋"/>
                <w:b/>
                <w:bCs/>
                <w:sz w:val="24"/>
              </w:rPr>
              <w:t>项目编号</w:t>
            </w:r>
          </w:p>
        </w:tc>
        <w:tc>
          <w:tcPr>
            <w:tcW w:w="1028" w:type="dxa"/>
            <w:tcBorders>
              <w:top w:val="single" w:color="000000" w:sz="4" w:space="0"/>
              <w:left w:val="single" w:color="000000" w:sz="4" w:space="0"/>
              <w:bottom w:val="single" w:color="000000" w:sz="4" w:space="0"/>
              <w:right w:val="single" w:color="000000" w:sz="4" w:space="0"/>
            </w:tcBorders>
            <w:noWrap/>
            <w:vAlign w:val="center"/>
          </w:tcPr>
          <w:p w14:paraId="13E2B723">
            <w:pPr>
              <w:widowControl/>
              <w:jc w:val="center"/>
              <w:textAlignment w:val="center"/>
              <w:rPr>
                <w:rFonts w:ascii="仿宋" w:hAnsi="仿宋" w:eastAsia="仿宋" w:cs="仿宋"/>
                <w:b/>
                <w:bCs/>
                <w:sz w:val="24"/>
              </w:rPr>
            </w:pPr>
            <w:r>
              <w:rPr>
                <w:rFonts w:hint="eastAsia" w:ascii="仿宋" w:hAnsi="仿宋" w:eastAsia="仿宋" w:cs="仿宋"/>
                <w:b/>
                <w:bCs/>
                <w:sz w:val="24"/>
              </w:rPr>
              <w:t>名称</w:t>
            </w: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4BA01E0C">
            <w:pPr>
              <w:widowControl/>
              <w:jc w:val="center"/>
              <w:textAlignment w:val="center"/>
              <w:rPr>
                <w:rFonts w:hint="eastAsia" w:ascii="仿宋" w:hAnsi="仿宋" w:eastAsia="仿宋" w:cs="仿宋"/>
                <w:b/>
                <w:bCs/>
                <w:sz w:val="24"/>
                <w:lang w:eastAsia="zh-CN"/>
              </w:rPr>
            </w:pPr>
            <w:r>
              <w:rPr>
                <w:rFonts w:hint="eastAsia" w:ascii="仿宋" w:hAnsi="仿宋" w:eastAsia="仿宋" w:cs="仿宋"/>
                <w:b/>
                <w:bCs/>
                <w:sz w:val="24"/>
                <w:lang w:eastAsia="zh-CN"/>
              </w:rPr>
              <w:t>规格</w:t>
            </w:r>
          </w:p>
          <w:p w14:paraId="486DB08F">
            <w:pPr>
              <w:widowControl/>
              <w:jc w:val="center"/>
              <w:textAlignment w:val="center"/>
              <w:rPr>
                <w:rFonts w:hint="eastAsia" w:ascii="仿宋" w:hAnsi="仿宋" w:eastAsia="仿宋" w:cs="仿宋"/>
                <w:b/>
                <w:bCs/>
                <w:sz w:val="24"/>
                <w:lang w:eastAsia="zh-CN"/>
              </w:rPr>
            </w:pPr>
            <w:r>
              <w:rPr>
                <w:rFonts w:hint="eastAsia" w:ascii="仿宋" w:hAnsi="仿宋" w:eastAsia="仿宋" w:cs="仿宋"/>
                <w:b/>
                <w:bCs/>
                <w:sz w:val="24"/>
                <w:lang w:eastAsia="zh-CN"/>
              </w:rPr>
              <w:t>型号</w:t>
            </w: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1309EBB4">
            <w:pPr>
              <w:widowControl/>
              <w:jc w:val="center"/>
              <w:textAlignment w:val="center"/>
              <w:rPr>
                <w:rFonts w:ascii="仿宋" w:hAnsi="仿宋" w:eastAsia="仿宋" w:cs="仿宋"/>
                <w:b/>
                <w:bCs/>
                <w:sz w:val="24"/>
              </w:rPr>
            </w:pPr>
            <w:r>
              <w:rPr>
                <w:rFonts w:hint="eastAsia" w:ascii="仿宋" w:hAnsi="仿宋" w:eastAsia="仿宋" w:cs="仿宋"/>
                <w:b/>
                <w:bCs/>
                <w:sz w:val="24"/>
              </w:rPr>
              <w:t>投标上限单价</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1FBCDDE8">
            <w:pPr>
              <w:widowControl/>
              <w:jc w:val="center"/>
              <w:textAlignment w:val="center"/>
              <w:rPr>
                <w:rFonts w:ascii="仿宋" w:hAnsi="仿宋" w:eastAsia="仿宋" w:cs="仿宋"/>
                <w:b/>
                <w:bCs/>
                <w:sz w:val="22"/>
                <w:szCs w:val="22"/>
              </w:rPr>
            </w:pPr>
            <w:r>
              <w:rPr>
                <w:rFonts w:hint="eastAsia" w:ascii="仿宋" w:hAnsi="仿宋" w:eastAsia="仿宋" w:cs="仿宋"/>
                <w:b/>
                <w:bCs/>
                <w:sz w:val="24"/>
              </w:rPr>
              <w:t>内容</w:t>
            </w:r>
          </w:p>
        </w:tc>
        <w:tc>
          <w:tcPr>
            <w:tcW w:w="1276" w:type="dxa"/>
            <w:tcBorders>
              <w:top w:val="single" w:color="000000" w:sz="4" w:space="0"/>
              <w:left w:val="single" w:color="000000" w:sz="4" w:space="0"/>
              <w:bottom w:val="single" w:color="000000" w:sz="4" w:space="0"/>
              <w:right w:val="single" w:color="000000" w:sz="4" w:space="0"/>
            </w:tcBorders>
            <w:noWrap/>
            <w:vAlign w:val="center"/>
          </w:tcPr>
          <w:p w14:paraId="6ABF5B95">
            <w:pPr>
              <w:widowControl/>
              <w:jc w:val="center"/>
              <w:textAlignment w:val="center"/>
              <w:rPr>
                <w:rFonts w:ascii="仿宋" w:hAnsi="仿宋" w:eastAsia="仿宋" w:cs="仿宋"/>
                <w:b/>
                <w:bCs/>
                <w:sz w:val="24"/>
              </w:rPr>
            </w:pPr>
            <w:r>
              <w:rPr>
                <w:rFonts w:hint="eastAsia" w:ascii="仿宋" w:hAnsi="仿宋" w:eastAsia="仿宋" w:cs="仿宋"/>
                <w:b/>
                <w:bCs/>
                <w:sz w:val="24"/>
              </w:rPr>
              <w:t>投标单价</w:t>
            </w:r>
          </w:p>
        </w:tc>
        <w:tc>
          <w:tcPr>
            <w:tcW w:w="1559" w:type="dxa"/>
            <w:tcBorders>
              <w:top w:val="single" w:color="000000" w:sz="4" w:space="0"/>
              <w:left w:val="single" w:color="000000" w:sz="4" w:space="0"/>
              <w:bottom w:val="single" w:color="000000" w:sz="4" w:space="0"/>
              <w:right w:val="single" w:color="000000" w:sz="4" w:space="0"/>
            </w:tcBorders>
            <w:noWrap/>
            <w:vAlign w:val="center"/>
          </w:tcPr>
          <w:p w14:paraId="6D11E200">
            <w:pPr>
              <w:widowControl/>
              <w:jc w:val="center"/>
              <w:textAlignment w:val="center"/>
              <w:rPr>
                <w:rFonts w:ascii="仿宋" w:hAnsi="仿宋" w:eastAsia="仿宋" w:cs="仿宋"/>
                <w:b/>
                <w:bCs/>
                <w:sz w:val="24"/>
              </w:rPr>
            </w:pPr>
            <w:r>
              <w:rPr>
                <w:rFonts w:hint="eastAsia" w:ascii="仿宋" w:hAnsi="仿宋" w:eastAsia="仿宋" w:cs="仿宋"/>
                <w:b/>
                <w:bCs/>
                <w:sz w:val="24"/>
              </w:rPr>
              <w:t>项目总价</w:t>
            </w:r>
          </w:p>
        </w:tc>
        <w:tc>
          <w:tcPr>
            <w:tcW w:w="1559" w:type="dxa"/>
            <w:tcBorders>
              <w:top w:val="single" w:color="000000" w:sz="4" w:space="0"/>
              <w:left w:val="single" w:color="000000" w:sz="4" w:space="0"/>
              <w:bottom w:val="single" w:color="000000" w:sz="4" w:space="0"/>
              <w:right w:val="single" w:color="000000" w:sz="4" w:space="0"/>
            </w:tcBorders>
            <w:noWrap/>
            <w:vAlign w:val="center"/>
          </w:tcPr>
          <w:p w14:paraId="6A2782BF">
            <w:pPr>
              <w:widowControl/>
              <w:jc w:val="center"/>
              <w:textAlignment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保修</w:t>
            </w:r>
          </w:p>
        </w:tc>
      </w:tr>
      <w:tr w14:paraId="7CE907D2">
        <w:tblPrEx>
          <w:tblCellMar>
            <w:top w:w="0" w:type="dxa"/>
            <w:left w:w="108" w:type="dxa"/>
            <w:bottom w:w="0" w:type="dxa"/>
            <w:right w:w="108" w:type="dxa"/>
          </w:tblCellMar>
        </w:tblPrEx>
        <w:trPr>
          <w:trHeight w:val="540" w:hRule="atLeast"/>
          <w:jc w:val="center"/>
        </w:trPr>
        <w:tc>
          <w:tcPr>
            <w:tcW w:w="705" w:type="dxa"/>
            <w:tcBorders>
              <w:top w:val="single" w:color="000000" w:sz="4" w:space="0"/>
              <w:left w:val="single" w:color="000000" w:sz="4" w:space="0"/>
              <w:bottom w:val="single" w:color="000000" w:sz="4" w:space="0"/>
              <w:right w:val="single" w:color="000000" w:sz="4" w:space="0"/>
            </w:tcBorders>
            <w:noWrap/>
            <w:vAlign w:val="center"/>
          </w:tcPr>
          <w:p w14:paraId="78503408">
            <w:pPr>
              <w:widowControl/>
              <w:jc w:val="center"/>
              <w:textAlignment w:val="center"/>
              <w:rPr>
                <w:rFonts w:ascii="仿宋" w:hAnsi="仿宋" w:eastAsia="仿宋" w:cs="仿宋"/>
                <w:sz w:val="24"/>
              </w:rPr>
            </w:pPr>
          </w:p>
        </w:tc>
        <w:tc>
          <w:tcPr>
            <w:tcW w:w="1028" w:type="dxa"/>
            <w:tcBorders>
              <w:top w:val="single" w:color="000000" w:sz="4" w:space="0"/>
              <w:left w:val="single" w:color="000000" w:sz="4" w:space="0"/>
              <w:bottom w:val="single" w:color="000000" w:sz="4" w:space="0"/>
              <w:right w:val="single" w:color="000000" w:sz="4" w:space="0"/>
            </w:tcBorders>
            <w:noWrap/>
            <w:vAlign w:val="center"/>
          </w:tcPr>
          <w:p w14:paraId="448BC062">
            <w:pPr>
              <w:widowControl/>
              <w:jc w:val="center"/>
              <w:textAlignment w:val="center"/>
              <w:rPr>
                <w:rFonts w:ascii="仿宋" w:hAnsi="仿宋" w:eastAsia="仿宋" w:cs="仿宋"/>
                <w:sz w:val="24"/>
              </w:rPr>
            </w:pP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472FEFD9">
            <w:pPr>
              <w:widowControl/>
              <w:jc w:val="center"/>
              <w:textAlignment w:val="center"/>
              <w:rPr>
                <w:rFonts w:ascii="仿宋" w:hAnsi="仿宋" w:eastAsia="仿宋" w:cs="仿宋"/>
                <w:sz w:val="24"/>
              </w:rPr>
            </w:pP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7FE2DABF">
            <w:pPr>
              <w:widowControl/>
              <w:jc w:val="center"/>
              <w:textAlignment w:val="center"/>
              <w:rPr>
                <w:rFonts w:ascii="仿宋" w:hAnsi="仿宋" w:eastAsia="仿宋" w:cs="仿宋"/>
                <w:sz w:val="24"/>
              </w:rPr>
            </w:pP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582ABC1F">
            <w:pPr>
              <w:widowControl/>
              <w:jc w:val="center"/>
              <w:textAlignment w:val="center"/>
              <w:rPr>
                <w:rFonts w:ascii="仿宋" w:hAnsi="仿宋" w:eastAsia="仿宋" w:cs="仿宋"/>
                <w:sz w:val="24"/>
              </w:rPr>
            </w:pPr>
          </w:p>
        </w:tc>
        <w:tc>
          <w:tcPr>
            <w:tcW w:w="1276" w:type="dxa"/>
            <w:tcBorders>
              <w:top w:val="single" w:color="000000" w:sz="4" w:space="0"/>
              <w:left w:val="single" w:color="000000" w:sz="4" w:space="0"/>
              <w:bottom w:val="single" w:color="000000" w:sz="4" w:space="0"/>
              <w:right w:val="single" w:color="000000" w:sz="4" w:space="0"/>
            </w:tcBorders>
            <w:noWrap/>
            <w:vAlign w:val="center"/>
          </w:tcPr>
          <w:p w14:paraId="02D702B9">
            <w:pPr>
              <w:widowControl/>
              <w:jc w:val="center"/>
              <w:textAlignment w:val="center"/>
              <w:rPr>
                <w:rFonts w:ascii="仿宋" w:hAnsi="仿宋" w:eastAsia="仿宋" w:cs="仿宋"/>
                <w:sz w:val="24"/>
              </w:rPr>
            </w:pPr>
          </w:p>
        </w:tc>
        <w:tc>
          <w:tcPr>
            <w:tcW w:w="1559" w:type="dxa"/>
            <w:tcBorders>
              <w:top w:val="single" w:color="000000" w:sz="4" w:space="0"/>
              <w:left w:val="single" w:color="000000" w:sz="4" w:space="0"/>
              <w:bottom w:val="single" w:color="000000" w:sz="4" w:space="0"/>
              <w:right w:val="single" w:color="000000" w:sz="4" w:space="0"/>
            </w:tcBorders>
            <w:noWrap/>
            <w:vAlign w:val="center"/>
          </w:tcPr>
          <w:p w14:paraId="0FA5CD31">
            <w:pPr>
              <w:widowControl/>
              <w:jc w:val="center"/>
              <w:textAlignment w:val="center"/>
              <w:rPr>
                <w:rFonts w:ascii="仿宋" w:hAnsi="仿宋" w:eastAsia="仿宋" w:cs="仿宋"/>
                <w:sz w:val="24"/>
              </w:rPr>
            </w:pPr>
          </w:p>
        </w:tc>
        <w:tc>
          <w:tcPr>
            <w:tcW w:w="1559" w:type="dxa"/>
            <w:tcBorders>
              <w:top w:val="single" w:color="000000" w:sz="4" w:space="0"/>
              <w:left w:val="single" w:color="000000" w:sz="4" w:space="0"/>
              <w:bottom w:val="single" w:color="000000" w:sz="4" w:space="0"/>
              <w:right w:val="single" w:color="000000" w:sz="4" w:space="0"/>
            </w:tcBorders>
            <w:noWrap/>
            <w:vAlign w:val="center"/>
          </w:tcPr>
          <w:p w14:paraId="6DD4FE99">
            <w:pPr>
              <w:widowControl/>
              <w:jc w:val="center"/>
              <w:textAlignment w:val="center"/>
              <w:rPr>
                <w:rFonts w:ascii="仿宋" w:hAnsi="仿宋" w:eastAsia="仿宋" w:cs="仿宋"/>
                <w:sz w:val="24"/>
              </w:rPr>
            </w:pPr>
          </w:p>
        </w:tc>
      </w:tr>
    </w:tbl>
    <w:p w14:paraId="3BB0DE0C">
      <w:pPr>
        <w:pStyle w:val="5"/>
        <w:ind w:firstLine="482"/>
        <w:rPr>
          <w:rFonts w:hint="eastAsia" w:ascii="仿宋" w:hAnsi="仿宋" w:eastAsia="仿宋" w:cs="仿宋"/>
          <w:b/>
        </w:rPr>
      </w:pPr>
    </w:p>
    <w:p w14:paraId="09B65C01">
      <w:pPr>
        <w:pStyle w:val="5"/>
        <w:ind w:firstLine="640"/>
        <w:rPr>
          <w:rFonts w:hint="eastAsia"/>
          <w:sz w:val="32"/>
          <w:szCs w:val="32"/>
        </w:rPr>
      </w:pPr>
    </w:p>
    <w:p w14:paraId="167939E0">
      <w:pPr>
        <w:pStyle w:val="5"/>
        <w:ind w:firstLine="0" w:firstLineChars="0"/>
        <w:rPr>
          <w:rFonts w:hint="eastAsia"/>
          <w:sz w:val="32"/>
          <w:szCs w:val="32"/>
        </w:rPr>
      </w:pPr>
    </w:p>
    <w:p w14:paraId="4B0605CA">
      <w:pPr>
        <w:spacing w:line="800" w:lineRule="exact"/>
        <w:rPr>
          <w:rFonts w:hint="eastAsia" w:ascii="仿宋" w:hAnsi="仿宋" w:eastAsia="仿宋" w:cs="仿宋"/>
          <w:b/>
          <w:sz w:val="24"/>
        </w:rPr>
      </w:pPr>
    </w:p>
    <w:p w14:paraId="634DD75F"/>
    <w:p w14:paraId="14130352"/>
    <w:p w14:paraId="1C751302"/>
    <w:p w14:paraId="624A02B8"/>
    <w:p w14:paraId="5C71CD1C"/>
    <w:p w14:paraId="68333A6A"/>
    <w:p w14:paraId="5F12AE31"/>
    <w:p w14:paraId="21432F57"/>
    <w:p w14:paraId="6C212B49"/>
    <w:p w14:paraId="68E122B1"/>
    <w:p w14:paraId="2746A78B"/>
    <w:p w14:paraId="7E47DEB4"/>
    <w:p w14:paraId="45732E15"/>
    <w:p w14:paraId="34CE0439"/>
    <w:p w14:paraId="3D11077C"/>
    <w:p w14:paraId="2B3D100C"/>
    <w:p w14:paraId="249E180E"/>
    <w:p w14:paraId="0219EA5B"/>
    <w:p w14:paraId="512736F6"/>
    <w:p w14:paraId="0FD18DEC"/>
    <w:p w14:paraId="67087E67"/>
    <w:p w14:paraId="0CD1BAD8"/>
    <w:p w14:paraId="74F49A78"/>
    <w:p w14:paraId="5827114C"/>
    <w:p w14:paraId="7E9562A9"/>
    <w:p w14:paraId="589B03AC">
      <w:pPr>
        <w:spacing w:line="800" w:lineRule="exact"/>
        <w:rPr>
          <w:rFonts w:hint="eastAsia" w:ascii="仿宋" w:hAnsi="仿宋" w:eastAsia="仿宋" w:cs="仿宋"/>
          <w:b/>
          <w:sz w:val="24"/>
        </w:rPr>
      </w:pPr>
      <w:r>
        <w:rPr>
          <w:rFonts w:hint="eastAsia" w:ascii="仿宋" w:hAnsi="仿宋" w:eastAsia="仿宋" w:cs="仿宋"/>
          <w:b/>
          <w:sz w:val="24"/>
        </w:rPr>
        <w:t>附件2：投标（开标）一览表（格式，放入“价格资料部分”）</w:t>
      </w:r>
    </w:p>
    <w:p w14:paraId="4970051A">
      <w:pPr>
        <w:spacing w:line="400" w:lineRule="exact"/>
        <w:rPr>
          <w:rFonts w:hint="eastAsia" w:ascii="仿宋" w:hAnsi="仿宋" w:eastAsia="仿宋" w:cs="仿宋"/>
          <w:sz w:val="24"/>
        </w:rPr>
      </w:pPr>
    </w:p>
    <w:p w14:paraId="31F5BEAB">
      <w:pPr>
        <w:spacing w:line="400" w:lineRule="exact"/>
        <w:rPr>
          <w:rFonts w:hint="eastAsia" w:ascii="仿宋" w:hAnsi="仿宋" w:eastAsia="仿宋" w:cs="仿宋"/>
          <w:sz w:val="24"/>
        </w:rPr>
      </w:pPr>
      <w:r>
        <w:rPr>
          <w:rFonts w:hint="eastAsia" w:ascii="仿宋" w:hAnsi="仿宋" w:eastAsia="仿宋" w:cs="仿宋"/>
          <w:sz w:val="24"/>
        </w:rPr>
        <w:t>供应商名称：</w:t>
      </w:r>
      <w:r>
        <w:rPr>
          <w:rFonts w:hint="eastAsia" w:ascii="仿宋" w:hAnsi="仿宋" w:eastAsia="仿宋" w:cs="仿宋"/>
          <w:sz w:val="24"/>
          <w:u w:val="single"/>
        </w:rPr>
        <w:t xml:space="preserve">                                    </w:t>
      </w:r>
    </w:p>
    <w:p w14:paraId="2D2C5837">
      <w:pPr>
        <w:spacing w:line="440" w:lineRule="exact"/>
        <w:jc w:val="left"/>
        <w:rPr>
          <w:rFonts w:hint="eastAsia" w:ascii="仿宋" w:hAnsi="仿宋" w:eastAsia="仿宋" w:cs="仿宋"/>
          <w:sz w:val="24"/>
        </w:rPr>
      </w:pPr>
      <w:r>
        <w:rPr>
          <w:rFonts w:hint="eastAsia" w:ascii="仿宋" w:hAnsi="仿宋" w:eastAsia="仿宋" w:cs="仿宋"/>
          <w:sz w:val="24"/>
        </w:rPr>
        <w:t xml:space="preserve">                                   </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6"/>
        <w:gridCol w:w="3308"/>
        <w:gridCol w:w="3878"/>
      </w:tblGrid>
      <w:tr w14:paraId="2A5C6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336" w:type="dxa"/>
            <w:tcBorders>
              <w:top w:val="single" w:color="auto" w:sz="4" w:space="0"/>
              <w:left w:val="single" w:color="auto" w:sz="4" w:space="0"/>
              <w:bottom w:val="single" w:color="auto" w:sz="4" w:space="0"/>
              <w:right w:val="single" w:color="auto" w:sz="4" w:space="0"/>
            </w:tcBorders>
            <w:noWrap w:val="0"/>
            <w:vAlign w:val="center"/>
          </w:tcPr>
          <w:p w14:paraId="0DFE2A34">
            <w:pPr>
              <w:snapToGrid w:val="0"/>
              <w:spacing w:line="440" w:lineRule="exact"/>
              <w:jc w:val="center"/>
              <w:rPr>
                <w:rFonts w:ascii="仿宋" w:hAnsi="仿宋" w:eastAsia="仿宋" w:cs="仿宋"/>
                <w:b/>
                <w:bCs/>
                <w:sz w:val="24"/>
              </w:rPr>
            </w:pPr>
            <w:r>
              <w:rPr>
                <w:rFonts w:hint="eastAsia" w:ascii="仿宋" w:hAnsi="仿宋" w:eastAsia="仿宋" w:cs="仿宋"/>
                <w:b/>
                <w:bCs/>
                <w:sz w:val="24"/>
              </w:rPr>
              <w:t>项目编号</w:t>
            </w:r>
          </w:p>
        </w:tc>
        <w:tc>
          <w:tcPr>
            <w:tcW w:w="3308" w:type="dxa"/>
            <w:tcBorders>
              <w:top w:val="single" w:color="auto" w:sz="4" w:space="0"/>
              <w:left w:val="single" w:color="auto" w:sz="4" w:space="0"/>
              <w:bottom w:val="single" w:color="auto" w:sz="4" w:space="0"/>
              <w:right w:val="single" w:color="auto" w:sz="4" w:space="0"/>
            </w:tcBorders>
            <w:noWrap w:val="0"/>
            <w:vAlign w:val="center"/>
          </w:tcPr>
          <w:p w14:paraId="2F377B70">
            <w:pPr>
              <w:snapToGrid w:val="0"/>
              <w:spacing w:line="440" w:lineRule="exact"/>
              <w:jc w:val="center"/>
              <w:rPr>
                <w:rFonts w:ascii="仿宋" w:hAnsi="仿宋" w:eastAsia="仿宋" w:cs="仿宋"/>
                <w:b/>
                <w:bCs/>
                <w:sz w:val="24"/>
              </w:rPr>
            </w:pPr>
            <w:r>
              <w:rPr>
                <w:rFonts w:hint="eastAsia" w:ascii="仿宋" w:hAnsi="仿宋" w:eastAsia="仿宋" w:cs="仿宋"/>
                <w:b/>
                <w:bCs/>
                <w:sz w:val="24"/>
              </w:rPr>
              <w:t>项目名称</w:t>
            </w:r>
          </w:p>
        </w:tc>
        <w:tc>
          <w:tcPr>
            <w:tcW w:w="3878" w:type="dxa"/>
            <w:tcBorders>
              <w:top w:val="single" w:color="auto" w:sz="4" w:space="0"/>
              <w:left w:val="single" w:color="auto" w:sz="4" w:space="0"/>
              <w:bottom w:val="single" w:color="auto" w:sz="4" w:space="0"/>
              <w:right w:val="single" w:color="auto" w:sz="4" w:space="0"/>
            </w:tcBorders>
            <w:noWrap w:val="0"/>
            <w:vAlign w:val="center"/>
          </w:tcPr>
          <w:p w14:paraId="5BB3DA25">
            <w:pPr>
              <w:snapToGrid w:val="0"/>
              <w:spacing w:line="440" w:lineRule="exact"/>
              <w:jc w:val="center"/>
              <w:rPr>
                <w:rFonts w:ascii="仿宋" w:hAnsi="仿宋" w:eastAsia="仿宋" w:cs="仿宋"/>
                <w:b/>
                <w:bCs/>
                <w:sz w:val="24"/>
              </w:rPr>
            </w:pPr>
            <w:r>
              <w:rPr>
                <w:rFonts w:hint="eastAsia" w:ascii="仿宋" w:hAnsi="仿宋" w:eastAsia="仿宋" w:cs="仿宋"/>
                <w:b/>
                <w:bCs/>
                <w:sz w:val="24"/>
              </w:rPr>
              <w:t>投标总价（元）</w:t>
            </w:r>
          </w:p>
        </w:tc>
      </w:tr>
      <w:tr w14:paraId="19CF1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336" w:type="dxa"/>
            <w:tcBorders>
              <w:top w:val="single" w:color="auto" w:sz="4" w:space="0"/>
              <w:left w:val="single" w:color="auto" w:sz="4" w:space="0"/>
              <w:bottom w:val="single" w:color="auto" w:sz="4" w:space="0"/>
              <w:right w:val="single" w:color="auto" w:sz="4" w:space="0"/>
            </w:tcBorders>
            <w:noWrap w:val="0"/>
            <w:vAlign w:val="center"/>
          </w:tcPr>
          <w:p w14:paraId="46316B86">
            <w:pPr>
              <w:snapToGrid w:val="0"/>
              <w:spacing w:line="440" w:lineRule="exact"/>
              <w:jc w:val="center"/>
              <w:rPr>
                <w:rFonts w:ascii="仿宋" w:hAnsi="仿宋" w:eastAsia="仿宋" w:cs="仿宋"/>
                <w:sz w:val="24"/>
              </w:rPr>
            </w:pPr>
            <w:r>
              <w:rPr>
                <w:rFonts w:hint="eastAsia" w:ascii="仿宋" w:hAnsi="仿宋" w:eastAsia="仿宋" w:cs="仿宋"/>
                <w:sz w:val="24"/>
              </w:rPr>
              <w:t>1</w:t>
            </w:r>
          </w:p>
        </w:tc>
        <w:tc>
          <w:tcPr>
            <w:tcW w:w="3308" w:type="dxa"/>
            <w:tcBorders>
              <w:top w:val="single" w:color="auto" w:sz="4" w:space="0"/>
              <w:left w:val="single" w:color="auto" w:sz="4" w:space="0"/>
              <w:bottom w:val="single" w:color="auto" w:sz="4" w:space="0"/>
              <w:right w:val="single" w:color="auto" w:sz="4" w:space="0"/>
            </w:tcBorders>
            <w:noWrap w:val="0"/>
            <w:vAlign w:val="center"/>
          </w:tcPr>
          <w:p w14:paraId="4047616A">
            <w:pPr>
              <w:snapToGrid w:val="0"/>
              <w:spacing w:line="440" w:lineRule="exact"/>
              <w:jc w:val="center"/>
              <w:rPr>
                <w:rFonts w:ascii="仿宋" w:hAnsi="仿宋" w:eastAsia="仿宋" w:cs="仿宋"/>
                <w:sz w:val="24"/>
              </w:rPr>
            </w:pPr>
          </w:p>
        </w:tc>
        <w:tc>
          <w:tcPr>
            <w:tcW w:w="3878" w:type="dxa"/>
            <w:tcBorders>
              <w:top w:val="single" w:color="auto" w:sz="4" w:space="0"/>
              <w:left w:val="single" w:color="auto" w:sz="4" w:space="0"/>
              <w:bottom w:val="single" w:color="auto" w:sz="4" w:space="0"/>
              <w:right w:val="single" w:color="auto" w:sz="4" w:space="0"/>
            </w:tcBorders>
            <w:noWrap w:val="0"/>
            <w:vAlign w:val="center"/>
          </w:tcPr>
          <w:p w14:paraId="280C6E0C">
            <w:pPr>
              <w:snapToGrid w:val="0"/>
              <w:spacing w:line="440" w:lineRule="exact"/>
              <w:rPr>
                <w:rFonts w:ascii="仿宋" w:hAnsi="仿宋" w:eastAsia="仿宋" w:cs="仿宋"/>
                <w:sz w:val="24"/>
              </w:rPr>
            </w:pPr>
          </w:p>
        </w:tc>
      </w:tr>
    </w:tbl>
    <w:p w14:paraId="11865F20">
      <w:pPr>
        <w:snapToGrid w:val="0"/>
        <w:spacing w:line="440" w:lineRule="exact"/>
        <w:jc w:val="left"/>
        <w:rPr>
          <w:rFonts w:hint="eastAsia" w:ascii="仿宋" w:hAnsi="仿宋" w:eastAsia="仿宋" w:cs="仿宋"/>
          <w:sz w:val="24"/>
        </w:rPr>
      </w:pPr>
    </w:p>
    <w:p w14:paraId="7C741D33">
      <w:pPr>
        <w:snapToGrid w:val="0"/>
        <w:spacing w:line="440" w:lineRule="exact"/>
        <w:jc w:val="left"/>
        <w:rPr>
          <w:rFonts w:hint="eastAsia" w:ascii="仿宋" w:hAnsi="仿宋" w:eastAsia="仿宋" w:cs="仿宋"/>
          <w:sz w:val="24"/>
        </w:rPr>
      </w:pPr>
      <w:r>
        <w:rPr>
          <w:rFonts w:hint="eastAsia" w:ascii="仿宋" w:hAnsi="仿宋" w:eastAsia="仿宋" w:cs="仿宋"/>
          <w:sz w:val="24"/>
        </w:rPr>
        <w:t>注: 1.报价一经涂改，应在涂改处加盖单位公章或者由法定代表人或其授权代表签字或盖章，否则其投标作无效投标处理。</w:t>
      </w:r>
    </w:p>
    <w:p w14:paraId="37DEA5ED">
      <w:pPr>
        <w:snapToGrid w:val="0"/>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2.招标人不接受某一标项中有2个(含)以上的报价或方案，若供应商在此表中有2个（含）以上的报价或方案，其投标作无效投标处理。</w:t>
      </w:r>
    </w:p>
    <w:p w14:paraId="247D7C48">
      <w:pPr>
        <w:spacing w:line="360" w:lineRule="auto"/>
        <w:ind w:left="-2" w:leftChars="-1" w:firstLine="480" w:firstLineChars="200"/>
        <w:rPr>
          <w:rFonts w:hint="eastAsia" w:ascii="仿宋" w:hAnsi="仿宋" w:eastAsia="仿宋" w:cs="仿宋"/>
          <w:kern w:val="0"/>
          <w:sz w:val="24"/>
          <w:lang w:val="zh-CN"/>
        </w:rPr>
      </w:pPr>
      <w:r>
        <w:rPr>
          <w:rFonts w:hint="eastAsia" w:ascii="仿宋" w:hAnsi="仿宋" w:eastAsia="仿宋" w:cs="仿宋"/>
          <w:kern w:val="0"/>
          <w:sz w:val="24"/>
          <w:lang w:val="zh-CN"/>
        </w:rPr>
        <w:t>3.供应商需按本表格式填写，不得自行更改。</w:t>
      </w:r>
    </w:p>
    <w:p w14:paraId="6C9B4669">
      <w:pPr>
        <w:snapToGrid w:val="0"/>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4.有关本项目实施所涉及的一切费用（详见前附表）均计入报价。</w:t>
      </w:r>
    </w:p>
    <w:p w14:paraId="4A3C37C5">
      <w:pPr>
        <w:spacing w:line="360" w:lineRule="auto"/>
        <w:ind w:left="-2" w:leftChars="-1" w:right="-817" w:rightChars="-389"/>
        <w:rPr>
          <w:rFonts w:hint="eastAsia" w:ascii="仿宋" w:hAnsi="仿宋" w:eastAsia="仿宋" w:cs="仿宋"/>
          <w:sz w:val="24"/>
        </w:rPr>
      </w:pPr>
    </w:p>
    <w:p w14:paraId="01BFF1E0">
      <w:pPr>
        <w:spacing w:line="360" w:lineRule="auto"/>
        <w:ind w:left="-2" w:leftChars="-1" w:right="-817" w:rightChars="-389"/>
        <w:rPr>
          <w:rFonts w:hint="eastAsia" w:ascii="仿宋" w:hAnsi="仿宋" w:eastAsia="仿宋" w:cs="仿宋"/>
          <w:sz w:val="24"/>
        </w:rPr>
      </w:pPr>
      <w:r>
        <w:rPr>
          <w:rFonts w:hint="eastAsia" w:ascii="仿宋" w:hAnsi="仿宋" w:eastAsia="仿宋" w:cs="仿宋"/>
          <w:sz w:val="24"/>
        </w:rPr>
        <w:t>供应商名称（盖章）：</w:t>
      </w:r>
    </w:p>
    <w:p w14:paraId="1B2F522A">
      <w:pPr>
        <w:pStyle w:val="5"/>
        <w:rPr>
          <w:rFonts w:hint="eastAsia"/>
        </w:rPr>
      </w:pPr>
    </w:p>
    <w:p w14:paraId="0C24AAC7">
      <w:pPr>
        <w:rPr>
          <w:rFonts w:hint="eastAsia" w:ascii="仿宋" w:hAnsi="仿宋" w:eastAsia="仿宋" w:cs="仿宋"/>
          <w:sz w:val="24"/>
        </w:rPr>
      </w:pPr>
      <w:r>
        <w:rPr>
          <w:rFonts w:hint="eastAsia" w:ascii="仿宋" w:hAnsi="仿宋" w:eastAsia="仿宋" w:cs="仿宋"/>
          <w:sz w:val="24"/>
        </w:rPr>
        <w:t xml:space="preserve">法定代表人或其授权代表（签字或盖章）：            </w:t>
      </w:r>
    </w:p>
    <w:p w14:paraId="1783C1AC">
      <w:pPr>
        <w:pStyle w:val="5"/>
        <w:rPr>
          <w:rFonts w:hint="eastAsia"/>
        </w:rPr>
      </w:pPr>
    </w:p>
    <w:p w14:paraId="18970794">
      <w:pPr>
        <w:pStyle w:val="5"/>
        <w:ind w:firstLine="0" w:firstLineChars="0"/>
        <w:rPr>
          <w:rFonts w:hint="eastAsia" w:ascii="仿宋" w:hAnsi="仿宋" w:eastAsia="仿宋" w:cs="仿宋"/>
        </w:rPr>
      </w:pPr>
      <w:r>
        <w:rPr>
          <w:rFonts w:hint="eastAsia" w:ascii="仿宋" w:hAnsi="仿宋" w:eastAsia="仿宋" w:cs="仿宋"/>
        </w:rPr>
        <w:t>法定代表人或其授权代表联系方式：</w:t>
      </w:r>
    </w:p>
    <w:p w14:paraId="3812B788">
      <w:pPr>
        <w:pStyle w:val="5"/>
        <w:ind w:firstLine="0" w:firstLineChars="0"/>
        <w:rPr>
          <w:rFonts w:hint="eastAsia" w:ascii="仿宋" w:hAnsi="仿宋" w:eastAsia="仿宋" w:cs="仿宋"/>
        </w:rPr>
      </w:pPr>
    </w:p>
    <w:p w14:paraId="0034793E">
      <w:pPr>
        <w:ind w:firstLine="5520" w:firstLineChars="2300"/>
        <w:rPr>
          <w:rFonts w:hint="eastAsia" w:ascii="仿宋" w:hAnsi="仿宋" w:eastAsia="仿宋" w:cs="仿宋"/>
          <w:sz w:val="24"/>
        </w:rPr>
      </w:pPr>
      <w:r>
        <w:rPr>
          <w:rFonts w:hint="eastAsia" w:ascii="仿宋" w:hAnsi="仿宋" w:eastAsia="仿宋" w:cs="仿宋"/>
          <w:sz w:val="24"/>
        </w:rPr>
        <w:t>日期：    年   月   日</w:t>
      </w:r>
    </w:p>
    <w:p w14:paraId="13FB91D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E33E43"/>
    <w:rsid w:val="0B8C363C"/>
    <w:rsid w:val="18E33E43"/>
    <w:rsid w:val="3A6D5A7E"/>
    <w:rsid w:val="445B1F16"/>
    <w:rsid w:val="74403DEA"/>
    <w:rsid w:val="7C0974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99"/>
    <w:pPr>
      <w:spacing w:before="100" w:beforeAutospacing="1" w:after="100" w:afterAutospacing="1"/>
      <w:ind w:left="0" w:right="0"/>
      <w:jc w:val="left"/>
    </w:pPr>
    <w:rPr>
      <w:kern w:val="0"/>
      <w:sz w:val="24"/>
      <w:lang w:val="en-US" w:eastAsia="zh-CN" w:bidi="ar"/>
    </w:rPr>
  </w:style>
  <w:style w:type="paragraph" w:customStyle="1" w:styleId="5">
    <w:name w:val="首行缩进"/>
    <w:basedOn w:val="1"/>
    <w:qFormat/>
    <w:uiPriority w:val="0"/>
    <w:pPr>
      <w:spacing w:line="360" w:lineRule="auto"/>
      <w:ind w:firstLine="480" w:firstLineChars="200"/>
    </w:pPr>
    <w:rPr>
      <w:rFonts w:ascii="宋体" w:hAnsi="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839</Words>
  <Characters>918</Characters>
  <Lines>0</Lines>
  <Paragraphs>0</Paragraphs>
  <TotalTime>0</TotalTime>
  <ScaleCrop>false</ScaleCrop>
  <LinksUpToDate>false</LinksUpToDate>
  <CharactersWithSpaces>919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2025-07-23T06:00:00Z</dcterms:created>
  <dc:creator>Administrator</dc:creator>
  <cp:lastModifiedBy>Serendipity</cp:lastModifiedBy>
  <dcterms:modified xsi:type="dcterms:W3CDTF">2025-07-25T06:10:50Z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5BCF374A5CF14C8281EADDADFF49B6AC</vt:lpwstr>
  </property>
  <property fmtid="{D5CDD505-2E9C-101B-9397-08002B2CF9AE}" pid="4" name="KSOTemplateDocerSaveRecord">
    <vt:lpwstr>eyJoZGlkIjoiODFlYmM4NDI3ZTM3Y2E1NGI5M2MyN2VkMDAzODgwYWUiLCJ1c2VySWQiOiI1ODc2Mjk5NjcifQ==</vt:lpwstr>
  </property>
</Properties>
</file>