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343762">
      <w:pPr>
        <w:pageBreakBefore/>
        <w:spacing w:line="440" w:lineRule="exact"/>
        <w:jc w:val="center"/>
        <w:outlineLvl w:val="9"/>
        <w:rPr>
          <w:rFonts w:hint="eastAsia" w:ascii="宋体" w:hAnsi="宋体" w:eastAsia="宋体" w:cs="宋体"/>
          <w:b/>
          <w:sz w:val="36"/>
          <w:szCs w:val="36"/>
        </w:rPr>
      </w:pPr>
      <w:bookmarkStart w:id="0" w:name="_GoBack"/>
      <w:r>
        <w:rPr>
          <w:rFonts w:hint="eastAsia" w:ascii="宋体" w:hAnsi="宋体" w:eastAsia="宋体" w:cs="宋体"/>
          <w:b/>
          <w:sz w:val="36"/>
          <w:szCs w:val="36"/>
        </w:rPr>
        <w:t>评标方法及标准</w:t>
      </w:r>
    </w:p>
    <w:bookmarkEnd w:id="0"/>
    <w:p w14:paraId="14BFECE3">
      <w:pPr>
        <w:spacing w:line="440" w:lineRule="exact"/>
        <w:jc w:val="left"/>
        <w:rPr>
          <w:rFonts w:hint="eastAsia" w:ascii="宋体" w:hAnsi="宋体" w:eastAsia="宋体" w:cs="宋体"/>
          <w:b/>
          <w:sz w:val="24"/>
        </w:rPr>
      </w:pPr>
      <w:r>
        <w:rPr>
          <w:rFonts w:hint="eastAsia" w:ascii="宋体" w:hAnsi="宋体" w:eastAsia="宋体" w:cs="宋体"/>
          <w:b/>
          <w:sz w:val="24"/>
          <w:lang w:eastAsia="zh-CN"/>
        </w:rPr>
        <w:t>一</w:t>
      </w:r>
      <w:r>
        <w:rPr>
          <w:rFonts w:hint="eastAsia" w:ascii="宋体" w:hAnsi="宋体" w:eastAsia="宋体" w:cs="宋体"/>
          <w:b/>
          <w:sz w:val="24"/>
        </w:rPr>
        <w:t>、评标方法：</w:t>
      </w:r>
    </w:p>
    <w:p w14:paraId="424E9F0E">
      <w:pPr>
        <w:spacing w:line="360" w:lineRule="auto"/>
        <w:ind w:firstLine="470" w:firstLineChars="196"/>
        <w:rPr>
          <w:rFonts w:hint="eastAsia" w:ascii="宋体" w:hAnsi="宋体" w:eastAsia="宋体" w:cs="宋体"/>
          <w:color w:val="000000"/>
          <w:sz w:val="24"/>
          <w:szCs w:val="24"/>
        </w:rPr>
      </w:pPr>
      <w:r>
        <w:rPr>
          <w:rFonts w:hint="eastAsia" w:ascii="宋体" w:hAnsi="宋体" w:eastAsia="宋体" w:cs="宋体"/>
          <w:color w:val="000000"/>
          <w:sz w:val="24"/>
          <w:szCs w:val="24"/>
        </w:rPr>
        <w:t>本次评标采用综合评分法，即在最大限度满足招标文件实质性要求前提下，由评标委员会对各投标人报价、售后服务承诺等方面进行综合评审。经各评委独立打分，按总得分从高到低顺序推荐确定中标候选人。若出现分数相同，则抽签决定。</w:t>
      </w:r>
    </w:p>
    <w:p w14:paraId="6085B29E">
      <w:pPr>
        <w:spacing w:line="360" w:lineRule="auto"/>
        <w:rPr>
          <w:rFonts w:hint="eastAsia" w:ascii="宋体" w:hAnsi="宋体" w:eastAsia="宋体" w:cs="宋体"/>
          <w:sz w:val="24"/>
          <w:szCs w:val="24"/>
        </w:rPr>
      </w:pPr>
      <w:r>
        <w:rPr>
          <w:rFonts w:hint="eastAsia" w:ascii="宋体" w:hAnsi="宋体" w:eastAsia="宋体" w:cs="宋体"/>
          <w:b/>
          <w:sz w:val="24"/>
          <w:szCs w:val="24"/>
        </w:rPr>
        <w:t>二、评分标准：</w:t>
      </w:r>
      <w:r>
        <w:rPr>
          <w:rFonts w:hint="eastAsia" w:ascii="宋体" w:hAnsi="宋体" w:eastAsia="宋体" w:cs="宋体"/>
          <w:sz w:val="24"/>
          <w:szCs w:val="24"/>
        </w:rPr>
        <w:t>共100分，其中技术分</w:t>
      </w:r>
      <w:r>
        <w:rPr>
          <w:rFonts w:hint="eastAsia" w:ascii="宋体" w:hAnsi="宋体" w:eastAsia="宋体" w:cs="宋体"/>
          <w:sz w:val="24"/>
          <w:szCs w:val="24"/>
          <w:lang w:val="en-US" w:eastAsia="zh-CN"/>
        </w:rPr>
        <w:t>7</w:t>
      </w:r>
      <w:r>
        <w:rPr>
          <w:rFonts w:hint="eastAsia" w:ascii="宋体" w:hAnsi="宋体" w:eastAsia="宋体" w:cs="宋体"/>
          <w:sz w:val="24"/>
          <w:szCs w:val="24"/>
        </w:rPr>
        <w:t>0分，商务分</w:t>
      </w:r>
      <w:r>
        <w:rPr>
          <w:rFonts w:hint="eastAsia" w:ascii="宋体" w:hAnsi="宋体" w:eastAsia="宋体" w:cs="宋体"/>
          <w:sz w:val="24"/>
          <w:szCs w:val="24"/>
          <w:lang w:val="en-US" w:eastAsia="zh-CN"/>
        </w:rPr>
        <w:t>3</w:t>
      </w:r>
      <w:r>
        <w:rPr>
          <w:rFonts w:hint="eastAsia" w:ascii="宋体" w:hAnsi="宋体" w:eastAsia="宋体" w:cs="宋体"/>
          <w:sz w:val="24"/>
          <w:szCs w:val="24"/>
        </w:rPr>
        <w:t>0分。评分依下述所列为评标打分依据，分值如下（评分计算技术分时，平均值保留小数2位）。</w:t>
      </w:r>
    </w:p>
    <w:p w14:paraId="28B71EEF">
      <w:pPr>
        <w:spacing w:line="360" w:lineRule="auto"/>
        <w:ind w:firstLine="413" w:firstLineChars="196"/>
        <w:rPr>
          <w:rFonts w:hint="eastAsia" w:ascii="宋体" w:hAnsi="宋体" w:eastAsia="宋体" w:cs="宋体"/>
          <w:b/>
          <w:color w:val="auto"/>
          <w:sz w:val="21"/>
          <w:szCs w:val="21"/>
        </w:rPr>
      </w:pPr>
      <w:r>
        <w:rPr>
          <w:rFonts w:hint="eastAsia" w:ascii="宋体" w:hAnsi="宋体" w:eastAsia="宋体" w:cs="宋体"/>
          <w:b/>
          <w:color w:val="auto"/>
          <w:sz w:val="21"/>
          <w:szCs w:val="21"/>
          <w:lang w:val="en-US" w:eastAsia="zh-CN"/>
        </w:rPr>
        <w:t>1）</w:t>
      </w:r>
      <w:r>
        <w:rPr>
          <w:rFonts w:hint="eastAsia" w:ascii="宋体" w:hAnsi="宋体" w:eastAsia="宋体" w:cs="宋体"/>
          <w:b/>
          <w:color w:val="auto"/>
          <w:sz w:val="21"/>
          <w:szCs w:val="21"/>
        </w:rPr>
        <w:t>技术分</w:t>
      </w:r>
      <w:r>
        <w:rPr>
          <w:rFonts w:hint="eastAsia" w:ascii="宋体" w:hAnsi="宋体" w:eastAsia="宋体" w:cs="宋体"/>
          <w:b/>
          <w:color w:val="auto"/>
          <w:sz w:val="21"/>
          <w:szCs w:val="21"/>
          <w:lang w:val="en-US" w:eastAsia="zh-CN"/>
        </w:rPr>
        <w:t>7</w:t>
      </w:r>
      <w:r>
        <w:rPr>
          <w:rFonts w:hint="eastAsia" w:ascii="宋体" w:hAnsi="宋体" w:eastAsia="宋体" w:cs="宋体"/>
          <w:b/>
          <w:color w:val="auto"/>
          <w:sz w:val="21"/>
          <w:szCs w:val="21"/>
        </w:rPr>
        <w:t>0分：</w:t>
      </w:r>
    </w:p>
    <w:tbl>
      <w:tblPr>
        <w:tblStyle w:val="5"/>
        <w:tblW w:w="907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1"/>
        <w:gridCol w:w="6700"/>
        <w:gridCol w:w="861"/>
      </w:tblGrid>
      <w:tr w14:paraId="7A5E3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511" w:type="dxa"/>
            <w:tcBorders>
              <w:top w:val="single" w:color="auto" w:sz="4" w:space="0"/>
              <w:left w:val="single" w:color="auto" w:sz="4" w:space="0"/>
              <w:bottom w:val="single" w:color="auto" w:sz="4" w:space="0"/>
              <w:right w:val="single" w:color="auto" w:sz="4" w:space="0"/>
            </w:tcBorders>
            <w:noWrap w:val="0"/>
            <w:vAlign w:val="center"/>
          </w:tcPr>
          <w:p w14:paraId="36ED5D0B">
            <w:pPr>
              <w:spacing w:line="360" w:lineRule="auto"/>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评分内容</w:t>
            </w:r>
          </w:p>
        </w:tc>
        <w:tc>
          <w:tcPr>
            <w:tcW w:w="6700" w:type="dxa"/>
            <w:tcBorders>
              <w:top w:val="single" w:color="auto" w:sz="4" w:space="0"/>
              <w:left w:val="single" w:color="auto" w:sz="4" w:space="0"/>
              <w:bottom w:val="single" w:color="auto" w:sz="4" w:space="0"/>
              <w:right w:val="single" w:color="auto" w:sz="4" w:space="0"/>
            </w:tcBorders>
            <w:noWrap w:val="0"/>
            <w:vAlign w:val="top"/>
          </w:tcPr>
          <w:p w14:paraId="65499977">
            <w:pPr>
              <w:spacing w:line="360" w:lineRule="auto"/>
              <w:ind w:left="-115" w:leftChars="-55" w:right="-115" w:rightChars="-55"/>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评 分 说 明</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4D90B17">
            <w:pPr>
              <w:spacing w:line="360" w:lineRule="auto"/>
              <w:ind w:left="-115" w:leftChars="-55" w:right="-115" w:rightChars="-55"/>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分值</w:t>
            </w:r>
          </w:p>
        </w:tc>
      </w:tr>
      <w:tr w14:paraId="14178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511" w:type="dxa"/>
            <w:tcBorders>
              <w:top w:val="single" w:color="auto" w:sz="4" w:space="0"/>
              <w:left w:val="single" w:color="auto" w:sz="4" w:space="0"/>
              <w:bottom w:val="single" w:color="auto" w:sz="4" w:space="0"/>
              <w:right w:val="single" w:color="auto" w:sz="4" w:space="0"/>
            </w:tcBorders>
            <w:noWrap w:val="0"/>
            <w:vAlign w:val="center"/>
          </w:tcPr>
          <w:p w14:paraId="31FD4F4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主要技术参数</w:t>
            </w:r>
            <w:r>
              <w:rPr>
                <w:rFonts w:hint="eastAsia" w:ascii="宋体" w:hAnsi="宋体" w:eastAsia="宋体" w:cs="宋体"/>
                <w:color w:val="auto"/>
                <w:sz w:val="24"/>
                <w:szCs w:val="24"/>
                <w:highlight w:val="none"/>
                <w:lang w:val="en-US" w:eastAsia="zh-CN"/>
              </w:rPr>
              <w:t>及服务</w:t>
            </w:r>
            <w:r>
              <w:rPr>
                <w:rFonts w:hint="eastAsia" w:ascii="宋体" w:hAnsi="宋体" w:eastAsia="宋体" w:cs="宋体"/>
                <w:color w:val="auto"/>
                <w:sz w:val="24"/>
                <w:szCs w:val="24"/>
                <w:highlight w:val="none"/>
              </w:rPr>
              <w:t>响应性</w:t>
            </w:r>
          </w:p>
        </w:tc>
        <w:tc>
          <w:tcPr>
            <w:tcW w:w="6700" w:type="dxa"/>
            <w:tcBorders>
              <w:top w:val="single" w:color="auto" w:sz="4" w:space="0"/>
              <w:left w:val="single" w:color="auto" w:sz="4" w:space="0"/>
              <w:bottom w:val="single" w:color="auto" w:sz="4" w:space="0"/>
              <w:right w:val="single" w:color="auto" w:sz="4" w:space="0"/>
            </w:tcBorders>
            <w:noWrap w:val="0"/>
            <w:vAlign w:val="center"/>
          </w:tcPr>
          <w:p w14:paraId="17DF73F0">
            <w:pPr>
              <w:spacing w:line="360" w:lineRule="auto"/>
              <w:ind w:left="0" w:leftChars="0" w:right="15" w:rightChars="7"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满足招标文件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招标项目范围及要求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中相关</w:t>
            </w:r>
            <w:r>
              <w:rPr>
                <w:rFonts w:hint="eastAsia" w:ascii="宋体" w:hAnsi="宋体" w:eastAsia="宋体" w:cs="宋体"/>
                <w:color w:val="auto"/>
                <w:sz w:val="24"/>
                <w:szCs w:val="24"/>
                <w:highlight w:val="none"/>
              </w:rPr>
              <w:t>要求的得</w:t>
            </w:r>
            <w:r>
              <w:rPr>
                <w:rFonts w:hint="eastAsia" w:ascii="宋体" w:hAnsi="宋体" w:eastAsia="宋体" w:cs="宋体"/>
                <w:color w:val="auto"/>
                <w:sz w:val="24"/>
                <w:szCs w:val="24"/>
                <w:highlight w:val="none"/>
                <w:lang w:val="en-US" w:eastAsia="zh-CN"/>
              </w:rPr>
              <w:t>34</w:t>
            </w:r>
            <w:r>
              <w:rPr>
                <w:rFonts w:hint="eastAsia" w:ascii="宋体" w:hAnsi="宋体" w:eastAsia="宋体" w:cs="宋体"/>
                <w:color w:val="auto"/>
                <w:sz w:val="24"/>
                <w:szCs w:val="24"/>
                <w:highlight w:val="none"/>
              </w:rPr>
              <w:t>分，打“★”号的指标为实质性指标不允许出现负偏离，如出现负偏离则作无效投标处理；打“▲”号的指标为主要功能、配置，每有一项偏离的扣</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分；一般指标每有一项偏离的扣</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分。扣完为止。</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64DEC6EC">
            <w:pPr>
              <w:spacing w:line="360" w:lineRule="auto"/>
              <w:ind w:left="-115" w:leftChars="-55" w:right="-115" w:rightChars="-55"/>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34</w:t>
            </w:r>
          </w:p>
        </w:tc>
      </w:tr>
      <w:tr w14:paraId="46A9B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1511" w:type="dxa"/>
            <w:vMerge w:val="restart"/>
            <w:tcBorders>
              <w:top w:val="single" w:color="auto" w:sz="4" w:space="0"/>
              <w:left w:val="single" w:color="auto" w:sz="4" w:space="0"/>
              <w:right w:val="single" w:color="auto" w:sz="4" w:space="0"/>
            </w:tcBorders>
            <w:noWrap w:val="0"/>
            <w:vAlign w:val="center"/>
          </w:tcPr>
          <w:p w14:paraId="024492AF">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资信</w:t>
            </w:r>
          </w:p>
        </w:tc>
        <w:tc>
          <w:tcPr>
            <w:tcW w:w="6700" w:type="dxa"/>
            <w:tcBorders>
              <w:top w:val="single" w:color="auto" w:sz="4" w:space="0"/>
              <w:left w:val="single" w:color="auto" w:sz="4" w:space="0"/>
              <w:bottom w:val="single" w:color="auto" w:sz="4" w:space="0"/>
              <w:right w:val="single" w:color="auto" w:sz="4" w:space="0"/>
            </w:tcBorders>
            <w:noWrap w:val="0"/>
            <w:vAlign w:val="top"/>
          </w:tcPr>
          <w:p w14:paraId="13CAA3AD">
            <w:pPr>
              <w:spacing w:line="360" w:lineRule="auto"/>
              <w:ind w:left="0" w:leftChars="0" w:right="15" w:rightChars="7"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投标人具有ISO9001质量管理体系认证、ISO14001环境管理体系认证、ISO45001职业健康安全管理体系认证，每提供一个认证证书得</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分，若 证书未提供或者不在有效期内则该证书不得分，本项最高得</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分。</w:t>
            </w:r>
            <w:r>
              <w:rPr>
                <w:rFonts w:hint="eastAsia" w:ascii="宋体" w:hAnsi="宋体" w:eastAsia="宋体" w:cs="宋体"/>
                <w:bCs/>
                <w:color w:val="auto"/>
                <w:sz w:val="24"/>
                <w:szCs w:val="24"/>
                <w:highlight w:val="none"/>
              </w:rPr>
              <w:t>技术文件中提供相关证书扫描件并加盖投标人公章</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现场</w:t>
            </w:r>
            <w:r>
              <w:rPr>
                <w:rFonts w:hint="eastAsia" w:ascii="宋体" w:hAnsi="宋体" w:eastAsia="宋体" w:cs="宋体"/>
                <w:color w:val="auto"/>
                <w:sz w:val="24"/>
                <w:szCs w:val="24"/>
                <w:highlight w:val="none"/>
              </w:rPr>
              <w:t>原件备查</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，否则不得分。</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5AD5E49C">
            <w:pPr>
              <w:spacing w:line="360" w:lineRule="auto"/>
              <w:ind w:left="-115" w:leftChars="-55" w:right="-115" w:rightChars="-55"/>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r>
      <w:tr w14:paraId="6B9C1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trPr>
        <w:tc>
          <w:tcPr>
            <w:tcW w:w="1511" w:type="dxa"/>
            <w:vMerge w:val="continue"/>
            <w:tcBorders>
              <w:left w:val="single" w:color="auto" w:sz="4" w:space="0"/>
              <w:bottom w:val="single" w:color="auto" w:sz="4" w:space="0"/>
              <w:right w:val="single" w:color="auto" w:sz="4" w:space="0"/>
            </w:tcBorders>
            <w:noWrap w:val="0"/>
            <w:vAlign w:val="center"/>
          </w:tcPr>
          <w:p w14:paraId="48ECE01C">
            <w:pPr>
              <w:spacing w:line="360" w:lineRule="auto"/>
              <w:jc w:val="center"/>
              <w:rPr>
                <w:rFonts w:hint="eastAsia" w:ascii="宋体" w:hAnsi="宋体" w:eastAsia="宋体" w:cs="宋体"/>
                <w:color w:val="auto"/>
                <w:sz w:val="24"/>
                <w:szCs w:val="24"/>
                <w:highlight w:val="none"/>
              </w:rPr>
            </w:pPr>
          </w:p>
        </w:tc>
        <w:tc>
          <w:tcPr>
            <w:tcW w:w="6700" w:type="dxa"/>
            <w:tcBorders>
              <w:top w:val="single" w:color="auto" w:sz="4" w:space="0"/>
              <w:left w:val="single" w:color="auto" w:sz="4" w:space="0"/>
              <w:bottom w:val="single" w:color="auto" w:sz="4" w:space="0"/>
              <w:right w:val="single" w:color="auto" w:sz="4" w:space="0"/>
            </w:tcBorders>
            <w:noWrap w:val="0"/>
            <w:vAlign w:val="top"/>
          </w:tcPr>
          <w:p w14:paraId="1FC58BF6">
            <w:pPr>
              <w:numPr>
                <w:ilvl w:val="0"/>
                <w:numId w:val="1"/>
              </w:numPr>
              <w:spacing w:line="360" w:lineRule="auto"/>
              <w:ind w:left="0" w:leftChars="0" w:right="15" w:rightChars="7"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投标人或投标人所投产品制造商应具备较强的技术研发实力，获得过国家级科学技术进步奖的，得3分，提供相关证明材料复印件。</w:t>
            </w:r>
          </w:p>
          <w:p w14:paraId="5A1F80CD">
            <w:pPr>
              <w:pStyle w:val="2"/>
              <w:numPr>
                <w:ilvl w:val="0"/>
                <w:numId w:val="0"/>
              </w:numPr>
              <w:rPr>
                <w:rFonts w:hint="eastAsia" w:eastAsia="宋体"/>
                <w:lang w:val="en-US" w:eastAsia="zh-CN"/>
              </w:rPr>
            </w:pPr>
            <w:r>
              <w:rPr>
                <w:rFonts w:hint="eastAsia"/>
                <w:lang w:val="en-US" w:eastAsia="zh-CN"/>
              </w:rPr>
              <w:t>2、为保证项目产品、技术具备较高的先进性，可达到领先水平，投标人或投标人所投摄像机产品制造商应具备较强的新技术研发实力，可提供高水平技术支撑，具备国家科学技术部颁发的国家新一代人工智能开放创新平台的，得3分，提供相关证明材料复印件。</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06AD1BE">
            <w:pPr>
              <w:spacing w:line="360" w:lineRule="auto"/>
              <w:ind w:left="-115" w:leftChars="-55" w:right="-115" w:rightChars="-55"/>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r>
      <w:tr w14:paraId="5DBDB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511" w:type="dxa"/>
            <w:tcBorders>
              <w:top w:val="single" w:color="auto" w:sz="4" w:space="0"/>
              <w:left w:val="single" w:color="auto" w:sz="4" w:space="0"/>
              <w:bottom w:val="single" w:color="auto" w:sz="4" w:space="0"/>
              <w:right w:val="single" w:color="auto" w:sz="4" w:space="0"/>
            </w:tcBorders>
            <w:noWrap w:val="0"/>
            <w:vAlign w:val="center"/>
          </w:tcPr>
          <w:p w14:paraId="5B9AC0A8">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投标人业绩</w:t>
            </w:r>
          </w:p>
        </w:tc>
        <w:tc>
          <w:tcPr>
            <w:tcW w:w="6700" w:type="dxa"/>
            <w:tcBorders>
              <w:top w:val="single" w:color="auto" w:sz="4" w:space="0"/>
              <w:left w:val="single" w:color="auto" w:sz="4" w:space="0"/>
              <w:bottom w:val="single" w:color="auto" w:sz="4" w:space="0"/>
              <w:right w:val="single" w:color="auto" w:sz="4" w:space="0"/>
            </w:tcBorders>
            <w:noWrap w:val="0"/>
            <w:vAlign w:val="center"/>
          </w:tcPr>
          <w:p w14:paraId="4CF3BB73">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20</w:t>
            </w:r>
            <w:r>
              <w:rPr>
                <w:rFonts w:hint="eastAsia" w:ascii="宋体" w:hAnsi="宋体" w:eastAsia="宋体" w:cs="宋体"/>
                <w:color w:val="auto"/>
                <w:sz w:val="24"/>
                <w:szCs w:val="24"/>
                <w:highlight w:val="none"/>
                <w:lang w:val="en-US" w:eastAsia="zh-CN"/>
              </w:rPr>
              <w:t>22</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月至今案例合同。根据投标人所提供的案例合同，经评标小组认定为符合要求：每有一份得1分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本项最高得3分。</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34B68878">
            <w:pPr>
              <w:spacing w:line="360" w:lineRule="auto"/>
              <w:ind w:left="-115" w:leftChars="-55" w:right="-115" w:rightChars="-55"/>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3</w:t>
            </w:r>
          </w:p>
        </w:tc>
      </w:tr>
      <w:tr w14:paraId="2E26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trPr>
        <w:tc>
          <w:tcPr>
            <w:tcW w:w="1511" w:type="dxa"/>
            <w:tcBorders>
              <w:top w:val="single" w:color="auto" w:sz="4" w:space="0"/>
              <w:left w:val="single" w:color="auto" w:sz="4" w:space="0"/>
              <w:bottom w:val="single" w:color="auto" w:sz="4" w:space="0"/>
              <w:right w:val="single" w:color="auto" w:sz="4" w:space="0"/>
            </w:tcBorders>
            <w:noWrap w:val="0"/>
            <w:vAlign w:val="center"/>
          </w:tcPr>
          <w:p w14:paraId="37AA1322">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施工设计组织</w:t>
            </w:r>
          </w:p>
        </w:tc>
        <w:tc>
          <w:tcPr>
            <w:tcW w:w="6700" w:type="dxa"/>
            <w:tcBorders>
              <w:top w:val="single" w:color="auto" w:sz="4" w:space="0"/>
              <w:left w:val="single" w:color="auto" w:sz="4" w:space="0"/>
              <w:bottom w:val="single" w:color="auto" w:sz="4" w:space="0"/>
              <w:right w:val="single" w:color="auto" w:sz="4" w:space="0"/>
            </w:tcBorders>
            <w:noWrap w:val="0"/>
            <w:vAlign w:val="center"/>
          </w:tcPr>
          <w:p w14:paraId="28394305">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rPr>
              <w:t>施工方案、施工机械、进场计划、材料计划及劳动力安排计划；施工工艺流程；施工总进度计划等。拟担任本项目负责人和技术负责人的专业素质、技术能力、经验等情况，项目组实施人员专业人员素质、技术能力、专业分布、经验等情况，数量是否充足，配置是否合理，内容完善可实施性强得</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rPr>
              <w:t>分，内容基本完善可实施得</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分，内容简单或略有欠缺、基本可行得1分，不满足需求或不可行不得分。</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2F2DF387">
            <w:pPr>
              <w:spacing w:line="360" w:lineRule="auto"/>
              <w:ind w:left="-115" w:leftChars="-55" w:right="-115" w:rightChars="-55"/>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w:t>
            </w:r>
          </w:p>
        </w:tc>
      </w:tr>
      <w:tr w14:paraId="1BBAC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511" w:type="dxa"/>
            <w:vMerge w:val="restart"/>
            <w:tcBorders>
              <w:top w:val="single" w:color="auto" w:sz="4" w:space="0"/>
              <w:left w:val="single" w:color="auto" w:sz="4" w:space="0"/>
              <w:bottom w:val="single" w:color="auto" w:sz="4" w:space="0"/>
              <w:right w:val="single" w:color="auto" w:sz="4" w:space="0"/>
            </w:tcBorders>
            <w:noWrap w:val="0"/>
            <w:vAlign w:val="center"/>
          </w:tcPr>
          <w:p w14:paraId="02E5A78A">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售后</w:t>
            </w:r>
            <w:r>
              <w:rPr>
                <w:rFonts w:hint="eastAsia" w:ascii="宋体" w:hAnsi="宋体" w:eastAsia="宋体" w:cs="宋体"/>
                <w:color w:val="auto"/>
                <w:sz w:val="24"/>
                <w:szCs w:val="24"/>
                <w:highlight w:val="none"/>
              </w:rPr>
              <w:t>服务</w:t>
            </w:r>
          </w:p>
        </w:tc>
        <w:tc>
          <w:tcPr>
            <w:tcW w:w="6700" w:type="dxa"/>
            <w:tcBorders>
              <w:top w:val="single" w:color="auto" w:sz="4" w:space="0"/>
              <w:left w:val="single" w:color="auto" w:sz="4" w:space="0"/>
              <w:bottom w:val="single" w:color="auto" w:sz="4" w:space="0"/>
              <w:right w:val="single" w:color="auto" w:sz="4" w:space="0"/>
            </w:tcBorders>
            <w:noWrap w:val="0"/>
            <w:vAlign w:val="center"/>
          </w:tcPr>
          <w:p w14:paraId="615BC1A6">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评标委员会根据投标人提供的</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服务方案对本项目的适用情况进行评分：</w:t>
            </w:r>
          </w:p>
          <w:p w14:paraId="07E7873D">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1.投标人提供的</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服务方案对本项目的针对性强，内容完善，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网点便捷、</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人员团队业务适应能力强、</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服务响应时间及时、保障措施完善的，得</w:t>
            </w:r>
            <w:r>
              <w:rPr>
                <w:rFonts w:hint="eastAsia" w:ascii="宋体" w:hAnsi="宋体" w:eastAsia="宋体" w:cs="宋体"/>
                <w:color w:val="auto"/>
                <w:sz w:val="24"/>
                <w:szCs w:val="24"/>
                <w:highlight w:val="none"/>
                <w:lang w:val="en-US" w:eastAsia="zh-CN"/>
              </w:rPr>
              <w:t>12</w:t>
            </w:r>
            <w:r>
              <w:rPr>
                <w:rFonts w:hint="eastAsia" w:ascii="宋体" w:hAnsi="宋体" w:eastAsia="宋体" w:cs="宋体"/>
                <w:color w:val="auto"/>
                <w:sz w:val="24"/>
                <w:szCs w:val="24"/>
                <w:highlight w:val="none"/>
              </w:rPr>
              <w:t>分；</w:t>
            </w:r>
          </w:p>
          <w:p w14:paraId="22B1BD07">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2.投标人提供的</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服务方案对本项目的针对性较好，内容较完善，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网点便捷度一般、</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人员团队业务适应能力较好、</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服务响应时间较及时、保障措施较完善的，得</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3ED7C6A3">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3.投标人提供的</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服务方案对本项目的针对性一般，内容完整度一般，</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网点便捷度较差、</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人员团队业务适应能力较差、</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服务响应时间一般、保障措施一般的，得</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p w14:paraId="5719F9E7">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4.不提供方案得0分。</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796723B4">
            <w:pPr>
              <w:spacing w:line="360" w:lineRule="auto"/>
              <w:ind w:left="-115" w:leftChars="-55" w:right="-115" w:rightChars="-55"/>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w:t>
            </w:r>
          </w:p>
        </w:tc>
      </w:tr>
      <w:tr w14:paraId="70647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1511" w:type="dxa"/>
            <w:vMerge w:val="continue"/>
            <w:tcBorders>
              <w:top w:val="single" w:color="auto" w:sz="4" w:space="0"/>
              <w:left w:val="single" w:color="auto" w:sz="4" w:space="0"/>
              <w:bottom w:val="single" w:color="auto" w:sz="4" w:space="0"/>
              <w:right w:val="single" w:color="auto" w:sz="4" w:space="0"/>
            </w:tcBorders>
            <w:noWrap w:val="0"/>
            <w:vAlign w:val="center"/>
          </w:tcPr>
          <w:p w14:paraId="71ABA307">
            <w:pPr>
              <w:widowControl/>
              <w:jc w:val="left"/>
              <w:rPr>
                <w:rFonts w:hint="eastAsia" w:ascii="宋体" w:hAnsi="宋体" w:eastAsia="宋体" w:cs="宋体"/>
                <w:color w:val="auto"/>
                <w:sz w:val="24"/>
                <w:szCs w:val="24"/>
                <w:highlight w:val="none"/>
              </w:rPr>
            </w:pPr>
          </w:p>
        </w:tc>
        <w:tc>
          <w:tcPr>
            <w:tcW w:w="6700" w:type="dxa"/>
            <w:tcBorders>
              <w:top w:val="single" w:color="auto" w:sz="4" w:space="0"/>
              <w:left w:val="single" w:color="auto" w:sz="4" w:space="0"/>
              <w:bottom w:val="single" w:color="auto" w:sz="4" w:space="0"/>
              <w:right w:val="single" w:color="auto" w:sz="4" w:space="0"/>
            </w:tcBorders>
            <w:noWrap w:val="0"/>
            <w:vAlign w:val="center"/>
          </w:tcPr>
          <w:p w14:paraId="18DE2B8B">
            <w:pPr>
              <w:spacing w:line="400" w:lineRule="exact"/>
              <w:ind w:left="71" w:leftChars="34" w:right="71" w:rightChars="34" w:firstLine="1"/>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eastAsia="zh-CN"/>
              </w:rPr>
              <w:t>本</w:t>
            </w:r>
            <w:r>
              <w:rPr>
                <w:rFonts w:hint="eastAsia" w:ascii="宋体" w:hAnsi="宋体" w:eastAsia="宋体" w:cs="宋体"/>
                <w:color w:val="auto"/>
                <w:sz w:val="24"/>
                <w:szCs w:val="24"/>
                <w:highlight w:val="none"/>
              </w:rPr>
              <w:t>地区有备货仓库</w:t>
            </w:r>
            <w:r>
              <w:rPr>
                <w:rFonts w:hint="eastAsia" w:ascii="宋体" w:hAnsi="宋体" w:eastAsia="宋体" w:cs="宋体"/>
                <w:color w:val="auto"/>
                <w:sz w:val="24"/>
                <w:szCs w:val="24"/>
                <w:highlight w:val="none"/>
                <w:lang w:val="en-US" w:eastAsia="zh-CN"/>
              </w:rPr>
              <w:t>得3</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承诺中标后设立的得</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无</w:t>
            </w:r>
            <w:r>
              <w:rPr>
                <w:rFonts w:hint="eastAsia" w:ascii="宋体" w:hAnsi="宋体" w:eastAsia="宋体" w:cs="宋体"/>
                <w:color w:val="auto"/>
                <w:sz w:val="24"/>
                <w:szCs w:val="24"/>
                <w:highlight w:val="none"/>
                <w:lang w:val="en-US" w:eastAsia="zh-CN"/>
              </w:rPr>
              <w:t>不得</w:t>
            </w:r>
            <w:r>
              <w:rPr>
                <w:rFonts w:hint="eastAsia" w:ascii="宋体" w:hAnsi="宋体" w:eastAsia="宋体" w:cs="宋体"/>
                <w:color w:val="auto"/>
                <w:sz w:val="24"/>
                <w:szCs w:val="24"/>
                <w:highlight w:val="none"/>
              </w:rPr>
              <w:t>分（提供相关证明材料</w:t>
            </w:r>
            <w:r>
              <w:rPr>
                <w:rFonts w:hint="eastAsia" w:ascii="宋体" w:hAnsi="宋体" w:eastAsia="宋体" w:cs="宋体"/>
                <w:color w:val="auto"/>
                <w:sz w:val="24"/>
                <w:szCs w:val="24"/>
                <w:highlight w:val="none"/>
                <w:lang w:eastAsia="zh-CN"/>
              </w:rPr>
              <w:t>或承诺书</w:t>
            </w:r>
            <w:r>
              <w:rPr>
                <w:rFonts w:hint="eastAsia" w:ascii="宋体" w:hAnsi="宋体" w:eastAsia="宋体" w:cs="宋体"/>
                <w:color w:val="auto"/>
                <w:sz w:val="24"/>
                <w:szCs w:val="24"/>
                <w:highlight w:val="none"/>
              </w:rPr>
              <w:t>）。</w:t>
            </w:r>
          </w:p>
        </w:tc>
        <w:tc>
          <w:tcPr>
            <w:tcW w:w="861" w:type="dxa"/>
            <w:tcBorders>
              <w:top w:val="single" w:color="auto" w:sz="4" w:space="0"/>
              <w:left w:val="single" w:color="auto" w:sz="4" w:space="0"/>
              <w:bottom w:val="single" w:color="auto" w:sz="4" w:space="0"/>
              <w:right w:val="single" w:color="auto" w:sz="4" w:space="0"/>
            </w:tcBorders>
            <w:noWrap w:val="0"/>
            <w:vAlign w:val="center"/>
          </w:tcPr>
          <w:p w14:paraId="158253E5">
            <w:pPr>
              <w:spacing w:line="360" w:lineRule="auto"/>
              <w:ind w:left="-115" w:leftChars="-55" w:right="-115" w:rightChars="-5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r>
    </w:tbl>
    <w:p w14:paraId="034AB0D3">
      <w:pPr>
        <w:pStyle w:val="2"/>
        <w:rPr>
          <w:rFonts w:hint="eastAsia" w:ascii="宋体" w:hAnsi="宋体" w:eastAsia="宋体" w:cs="宋体"/>
          <w:color w:val="auto"/>
          <w:sz w:val="21"/>
          <w:szCs w:val="21"/>
          <w:highlight w:val="none"/>
        </w:rPr>
      </w:pPr>
    </w:p>
    <w:p w14:paraId="25BDBEE4">
      <w:pPr>
        <w:pStyle w:val="3"/>
        <w:spacing w:line="312"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注：1.评分标准里所提到的要求提供原件（备查）的请投标人将原件单独装在档案袋中，统一于开标截止时间前递交，若投标文件中的复印件与原件不符或未能提供原件的则不得分。</w:t>
      </w:r>
    </w:p>
    <w:p w14:paraId="335C516F">
      <w:pPr>
        <w:pStyle w:val="3"/>
        <w:spacing w:line="312" w:lineRule="auto"/>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2.所有的证书必须在有效期内，不在有效期内的不得分。</w:t>
      </w:r>
    </w:p>
    <w:p w14:paraId="0E432A04">
      <w:pPr>
        <w:spacing w:line="360" w:lineRule="auto"/>
        <w:ind w:firstLine="472" w:firstLineChars="196"/>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rPr>
        <w:t>商务分</w:t>
      </w:r>
      <w:r>
        <w:rPr>
          <w:rFonts w:hint="eastAsia" w:ascii="宋体" w:hAnsi="宋体" w:eastAsia="宋体" w:cs="宋体"/>
          <w:b/>
          <w:color w:val="auto"/>
          <w:sz w:val="24"/>
          <w:szCs w:val="24"/>
          <w:lang w:val="en-US" w:eastAsia="zh-CN"/>
        </w:rPr>
        <w:t>3</w:t>
      </w:r>
      <w:r>
        <w:rPr>
          <w:rFonts w:hint="eastAsia" w:ascii="宋体" w:hAnsi="宋体" w:eastAsia="宋体" w:cs="宋体"/>
          <w:b/>
          <w:color w:val="auto"/>
          <w:sz w:val="24"/>
          <w:szCs w:val="24"/>
        </w:rPr>
        <w:t>0分</w:t>
      </w:r>
    </w:p>
    <w:p w14:paraId="40DCBBD5">
      <w:pPr>
        <w:spacing w:line="440" w:lineRule="exac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1.评标基准价：即满足招标文件要求且投标价格最低的折扣为评标基准价，其价格分为满分。</w:t>
      </w:r>
    </w:p>
    <w:p w14:paraId="473BDBA8">
      <w:pPr>
        <w:spacing w:line="440" w:lineRule="exac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2其他投标人的价格分统一按照下列公式计算：</w:t>
      </w:r>
    </w:p>
    <w:p w14:paraId="4AD3FB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投标报价得分=(评标基准价／投标报价)×价格权值×100</w:t>
      </w:r>
    </w:p>
    <w:p w14:paraId="176AE9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即：投标报价得分=(评标基准价／投标报价)×30</w:t>
      </w:r>
    </w:p>
    <w:p w14:paraId="397C2E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hint="eastAsia" w:ascii="宋体" w:hAnsi="宋体" w:eastAsia="宋体" w:cs="宋体"/>
          <w:color w:val="auto"/>
          <w:sz w:val="24"/>
          <w:szCs w:val="24"/>
        </w:rPr>
      </w:pPr>
    </w:p>
    <w:p w14:paraId="595F340F">
      <w:pPr>
        <w:spacing w:line="360" w:lineRule="auto"/>
        <w:ind w:firstLine="482" w:firstLineChars="200"/>
        <w:jc w:val="left"/>
        <w:rPr>
          <w:rFonts w:hint="eastAsia" w:ascii="宋体" w:hAnsi="宋体" w:eastAsia="宋体" w:cs="宋体"/>
          <w:b/>
          <w:color w:val="auto"/>
          <w:sz w:val="24"/>
          <w:szCs w:val="24"/>
        </w:rPr>
      </w:pPr>
      <w:r>
        <w:rPr>
          <w:rFonts w:hint="eastAsia" w:ascii="宋体" w:hAnsi="宋体" w:eastAsia="宋体" w:cs="宋体"/>
          <w:b/>
          <w:color w:val="auto"/>
          <w:sz w:val="24"/>
          <w:szCs w:val="24"/>
          <w:lang w:val="en-US" w:eastAsia="zh-CN"/>
        </w:rPr>
        <w:t>3）</w:t>
      </w:r>
      <w:r>
        <w:rPr>
          <w:rFonts w:hint="eastAsia" w:ascii="宋体" w:hAnsi="宋体" w:eastAsia="宋体" w:cs="宋体"/>
          <w:b/>
          <w:color w:val="auto"/>
          <w:sz w:val="24"/>
          <w:szCs w:val="24"/>
        </w:rPr>
        <w:t>综合得分</w:t>
      </w:r>
    </w:p>
    <w:p w14:paraId="7070F7B1">
      <w:pPr>
        <w:spacing w:line="42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投标人综合得分=技术得分+价格得分 。满分为100分。</w:t>
      </w:r>
    </w:p>
    <w:p w14:paraId="6EE7DD8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9FB22F"/>
    <w:multiLevelType w:val="singleLevel"/>
    <w:tmpl w:val="CE9FB22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281EDE"/>
    <w:rsid w:val="6E281E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99"/>
    <w:pPr>
      <w:spacing w:line="360" w:lineRule="auto"/>
      <w:ind w:firstLine="480" w:firstLineChars="200"/>
    </w:pPr>
    <w:rPr>
      <w:sz w:val="24"/>
      <w:szCs w:val="22"/>
      <w:lang w:val="zh-CN"/>
    </w:rPr>
  </w:style>
  <w:style w:type="paragraph" w:styleId="3">
    <w:name w:val="Plain Text"/>
    <w:basedOn w:val="1"/>
    <w:next w:val="4"/>
    <w:qFormat/>
    <w:uiPriority w:val="0"/>
    <w:rPr>
      <w:rFonts w:ascii="宋体" w:hAnsi="Courier New"/>
      <w:szCs w:val="20"/>
    </w:rPr>
  </w:style>
  <w:style w:type="paragraph" w:styleId="4">
    <w:name w:val="toc 1"/>
    <w:basedOn w:val="1"/>
    <w:next w:val="1"/>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2025-09-11T00:25:00Z</dcterms:created>
  <dc:creator>企业用户_591661292</dc:creator>
  <cp:lastModifiedBy>企业用户_591661292</cp:lastModifiedBy>
  <dcterms:modified xsi:type="dcterms:W3CDTF">2025-09-11T00:25:55Z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0B3D0FEE9BB540B18ADC5554AFE11F95_11</vt:lpwstr>
  </property>
  <property fmtid="{D5CDD505-2E9C-101B-9397-08002B2CF9AE}" pid="4" name="KSOTemplateDocerSaveRecord">
    <vt:lpwstr>eyJoZGlkIjoiNmI5YWU2MWJlOGY3ZGFjNmQ0ODRjZGNmNjk4MGMzZTEiLCJ1c2VySWQiOiIxNjIwNjU5MDEzIn0=</vt:lpwstr>
  </property>
</Properties>
</file>