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pageBreakBefore w:val="0"/>
        <w:kinsoku/>
        <w:wordWrap/>
        <w:overflowPunct/>
        <w:topLinePunct w:val="0"/>
        <w:autoSpaceDE/>
        <w:autoSpaceDN/>
        <w:bidi w:val="0"/>
        <w:adjustRightInd/>
        <w:spacing w:beforeAutospacing="0" w:afterAutospacing="0" w:line="240" w:lineRule="auto"/>
        <w:ind w:left="0" w:right="0"/>
        <w:jc w:val="center"/>
        <w:textAlignment w:val="auto"/>
        <w:rPr>
          <w:rFonts w:hint="eastAsia" w:ascii="仿宋" w:hAnsi="仿宋" w:eastAsia="仿宋" w:cs="仿宋"/>
          <w:b/>
          <w:bCs/>
          <w:sz w:val="36"/>
          <w:szCs w:val="36"/>
          <w:lang w:val="en-GB" w:eastAsia="zh-CN"/>
        </w:rPr>
      </w:pPr>
      <w:bookmarkStart w:id="0" w:name="_Toc151354173"/>
      <w:bookmarkStart w:id="1" w:name="_Toc84325981"/>
      <w:bookmarkStart w:id="2" w:name="_Toc81372787"/>
      <w:bookmarkStart w:id="3" w:name="_Toc81372964"/>
      <w:bookmarkStart w:id="4" w:name="_Toc80157775"/>
      <w:r>
        <w:rPr>
          <w:rFonts w:hint="eastAsia" w:ascii="仿宋" w:hAnsi="仿宋" w:eastAsia="仿宋" w:cs="仿宋"/>
          <w:b/>
          <w:bCs/>
          <w:sz w:val="36"/>
          <w:szCs w:val="36"/>
          <w:lang w:val="en-GB" w:eastAsia="zh-CN"/>
        </w:rPr>
        <w:t>绍兴市第七人民医院</w:t>
      </w:r>
    </w:p>
    <w:p>
      <w:pPr>
        <w:keepLines w:val="0"/>
        <w:pageBreakBefore w:val="0"/>
        <w:kinsoku/>
        <w:wordWrap/>
        <w:overflowPunct/>
        <w:topLinePunct w:val="0"/>
        <w:autoSpaceDE/>
        <w:autoSpaceDN/>
        <w:bidi w:val="0"/>
        <w:adjustRightInd/>
        <w:spacing w:beforeAutospacing="0" w:afterAutospacing="0" w:line="240" w:lineRule="auto"/>
        <w:ind w:left="0" w:right="0"/>
        <w:jc w:val="center"/>
        <w:textAlignment w:val="auto"/>
        <w:rPr>
          <w:rFonts w:hint="eastAsia" w:ascii="仿宋" w:hAnsi="仿宋" w:eastAsia="仿宋" w:cs="仿宋"/>
          <w:b/>
          <w:bCs/>
          <w:sz w:val="36"/>
          <w:szCs w:val="36"/>
          <w:lang w:val="en-GB" w:eastAsia="zh-CN"/>
        </w:rPr>
      </w:pPr>
      <w:r>
        <w:rPr>
          <w:rFonts w:hint="eastAsia" w:ascii="仿宋" w:hAnsi="仿宋" w:eastAsia="仿宋" w:cs="仿宋"/>
          <w:b/>
          <w:bCs/>
          <w:sz w:val="36"/>
          <w:szCs w:val="36"/>
          <w:lang w:val="en-GB" w:eastAsia="zh-CN"/>
        </w:rPr>
        <w:t>心理援助热线系统租赁服务项目采购需求</w:t>
      </w:r>
    </w:p>
    <w:p>
      <w:pPr>
        <w:spacing w:line="240" w:lineRule="auto"/>
        <w:jc w:val="left"/>
        <w:rPr>
          <w:rFonts w:hint="eastAsia" w:ascii="仿宋" w:hAnsi="仿宋" w:eastAsia="仿宋" w:cs="仿宋"/>
          <w:b/>
          <w:sz w:val="24"/>
          <w:szCs w:val="24"/>
        </w:rPr>
      </w:pPr>
      <w:r>
        <w:rPr>
          <w:rFonts w:hint="eastAsia" w:ascii="仿宋" w:hAnsi="仿宋" w:eastAsia="仿宋" w:cs="仿宋"/>
          <w:b/>
          <w:sz w:val="24"/>
          <w:szCs w:val="24"/>
        </w:rPr>
        <w:t>一、投标供应商的资格要求</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 满足《中华人民共和国政府采购法》第二十二条规定；未被“信用中国”（www.creditchina.gov.cn)、中国政府采购网（www.ccgp.gov.cn）列入失信被执行人、重大税收违法失信主体、政府采购严重违法失信行为记录名单；</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 以联合体形式投标的，提供联合协议(本项目不接受联合体投标或者投标人不以联合体形式投标的，则不需要提供) ；</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3.落实政府采购政策需满足的资格要求：</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□无（注：不得限制大中型企业与小微企业组成联合体参与投标）；</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□专门面向中小企业</w:t>
      </w:r>
    </w:p>
    <w:p>
      <w:pPr>
        <w:spacing w:line="240" w:lineRule="auto"/>
        <w:ind w:firstLine="420" w:firstLineChars="0"/>
        <w:jc w:val="left"/>
        <w:rPr>
          <w:rFonts w:hint="eastAsia" w:ascii="仿宋" w:hAnsi="仿宋" w:eastAsia="仿宋" w:cs="仿宋"/>
          <w:kern w:val="0"/>
          <w:sz w:val="24"/>
          <w:szCs w:val="24"/>
          <w:lang w:val="en-US" w:eastAsia="zh-CN"/>
        </w:rPr>
      </w:pPr>
      <w:bookmarkStart w:id="5" w:name="_GoBack"/>
      <w:bookmarkEnd w:id="5"/>
      <w:r>
        <w:rPr>
          <w:rFonts w:hint="eastAsia" w:ascii="仿宋" w:hAnsi="仿宋" w:eastAsia="仿宋" w:cs="仿宋"/>
          <w:kern w:val="0"/>
          <w:sz w:val="24"/>
          <w:szCs w:val="24"/>
          <w:lang w:val="en-US" w:eastAsia="zh-CN"/>
        </w:rPr>
        <w:t>☑服务全部由符合政策要求的中小企业承接，提供中小企业声明函；</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☐服务全部由符合政策要求的小微企业承接，提供中小企业声明函；</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p>
    <w:p>
      <w:pPr>
        <w:spacing w:line="240" w:lineRule="auto"/>
        <w:ind w:firstLine="420" w:firstLineChars="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4.本项目的特定资格要求： 无 。</w:t>
      </w:r>
    </w:p>
    <w:p>
      <w:pPr>
        <w:spacing w:line="240" w:lineRule="auto"/>
        <w:jc w:val="left"/>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采购</w:t>
      </w:r>
      <w:r>
        <w:rPr>
          <w:rFonts w:hint="eastAsia" w:ascii="仿宋" w:hAnsi="仿宋" w:eastAsia="仿宋" w:cs="仿宋"/>
          <w:b/>
          <w:sz w:val="24"/>
          <w:szCs w:val="24"/>
        </w:rPr>
        <w:t>项目范围及要求</w:t>
      </w:r>
    </w:p>
    <w:p>
      <w:pPr>
        <w:spacing w:line="240" w:lineRule="auto"/>
        <w:jc w:val="left"/>
        <w:rPr>
          <w:rFonts w:hint="eastAsia" w:ascii="仿宋" w:hAnsi="仿宋" w:eastAsia="仿宋" w:cs="仿宋"/>
          <w:sz w:val="24"/>
          <w:szCs w:val="24"/>
          <w:lang w:eastAsia="zh-CN"/>
        </w:rPr>
      </w:pPr>
      <w:r>
        <w:rPr>
          <w:rFonts w:hint="eastAsia" w:ascii="仿宋" w:hAnsi="仿宋" w:eastAsia="仿宋" w:cs="仿宋"/>
          <w:b/>
          <w:sz w:val="24"/>
          <w:szCs w:val="24"/>
        </w:rPr>
        <w:t>01标</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lang w:eastAsia="zh-CN"/>
        </w:rPr>
        <w:t>心理援助热线系统租赁服务项目</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20" w:leftChars="200" w:right="0"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招标项目名称及数量：</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20" w:leftChars="200" w:right="0" w:firstLine="0" w:firstLineChars="0"/>
        <w:textAlignment w:val="auto"/>
        <w:rPr>
          <w:rFonts w:hint="default" w:ascii="仿宋" w:hAnsi="仿宋" w:eastAsia="仿宋" w:cs="仿宋"/>
          <w:kern w:val="0"/>
          <w:sz w:val="24"/>
          <w:szCs w:val="24"/>
          <w:highlight w:val="yellow"/>
          <w:lang w:val="en-US" w:eastAsia="zh-CN"/>
        </w:rPr>
      </w:pPr>
      <w:r>
        <w:rPr>
          <w:rFonts w:hint="eastAsia" w:ascii="仿宋" w:hAnsi="仿宋" w:eastAsia="仿宋" w:cs="仿宋"/>
          <w:b/>
          <w:bCs/>
          <w:kern w:val="0"/>
          <w:sz w:val="24"/>
          <w:szCs w:val="24"/>
          <w:highlight w:val="yellow"/>
          <w:lang w:eastAsia="zh-CN"/>
        </w:rPr>
        <w:t>采购标的所属行业：软件和信息技术服务业</w:t>
      </w:r>
    </w:p>
    <w:tbl>
      <w:tblPr>
        <w:tblStyle w:val="15"/>
        <w:tblW w:w="9120"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4492"/>
        <w:gridCol w:w="3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06" w:type="dxa"/>
            <w:noWrap/>
            <w:vAlign w:val="center"/>
          </w:tcPr>
          <w:p>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标项</w:t>
            </w:r>
          </w:p>
        </w:tc>
        <w:tc>
          <w:tcPr>
            <w:tcW w:w="4492" w:type="dxa"/>
            <w:noWrap/>
            <w:vAlign w:val="center"/>
          </w:tcPr>
          <w:p>
            <w:pPr>
              <w:pageBreakBefore w:val="0"/>
              <w:kinsoku/>
              <w:wordWrap/>
              <w:overflowPunct/>
              <w:topLinePunct w:val="0"/>
              <w:autoSpaceDE/>
              <w:autoSpaceDN/>
              <w:bidi w:val="0"/>
              <w:adjustRightInd/>
              <w:spacing w:line="240" w:lineRule="auto"/>
              <w:ind w:left="0" w:right="0"/>
              <w:rPr>
                <w:rFonts w:hint="eastAsia" w:ascii="仿宋" w:hAnsi="仿宋" w:eastAsia="仿宋" w:cs="仿宋"/>
                <w:sz w:val="24"/>
                <w:szCs w:val="24"/>
                <w:lang w:eastAsia="zh-CN"/>
              </w:rPr>
            </w:pPr>
            <w:r>
              <w:rPr>
                <w:rFonts w:hint="eastAsia" w:ascii="仿宋" w:hAnsi="仿宋" w:eastAsia="仿宋" w:cs="仿宋"/>
                <w:sz w:val="24"/>
                <w:szCs w:val="24"/>
              </w:rPr>
              <w:t>标段名称</w:t>
            </w:r>
            <w:r>
              <w:rPr>
                <w:rFonts w:hint="eastAsia" w:ascii="仿宋" w:hAnsi="仿宋" w:eastAsia="仿宋" w:cs="仿宋"/>
                <w:sz w:val="24"/>
                <w:szCs w:val="24"/>
                <w:lang w:eastAsia="zh-CN"/>
              </w:rPr>
              <w:t>及数量</w:t>
            </w:r>
          </w:p>
        </w:tc>
        <w:tc>
          <w:tcPr>
            <w:tcW w:w="3522" w:type="dxa"/>
            <w:noWrap/>
            <w:vAlign w:val="center"/>
          </w:tcPr>
          <w:p>
            <w:pPr>
              <w:pageBreakBefore w:val="0"/>
              <w:kinsoku/>
              <w:wordWrap/>
              <w:overflowPunct/>
              <w:topLinePunct w:val="0"/>
              <w:autoSpaceDE/>
              <w:autoSpaceDN/>
              <w:bidi w:val="0"/>
              <w:adjustRightInd/>
              <w:spacing w:line="240" w:lineRule="auto"/>
              <w:ind w:left="0" w:right="0"/>
              <w:rPr>
                <w:rFonts w:hint="eastAsia" w:ascii="仿宋" w:hAnsi="仿宋" w:eastAsia="仿宋" w:cs="仿宋"/>
                <w:sz w:val="24"/>
                <w:szCs w:val="24"/>
              </w:rPr>
            </w:pPr>
            <w:r>
              <w:rPr>
                <w:rFonts w:hint="eastAsia" w:ascii="仿宋" w:hAnsi="仿宋" w:eastAsia="仿宋" w:cs="仿宋"/>
                <w:sz w:val="24"/>
                <w:szCs w:val="24"/>
              </w:rPr>
              <w:t>预算金额（单位：人民币元）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06" w:type="dxa"/>
            <w:noWrap/>
            <w:vAlign w:val="center"/>
          </w:tcPr>
          <w:p>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01标</w:t>
            </w:r>
          </w:p>
        </w:tc>
        <w:tc>
          <w:tcPr>
            <w:tcW w:w="4492" w:type="dxa"/>
            <w:noWrap/>
            <w:vAlign w:val="center"/>
          </w:tcPr>
          <w:p>
            <w:pPr>
              <w:pageBreakBefore w:val="0"/>
              <w:kinsoku/>
              <w:wordWrap/>
              <w:overflowPunct/>
              <w:topLinePunct w:val="0"/>
              <w:autoSpaceDE/>
              <w:autoSpaceDN/>
              <w:bidi w:val="0"/>
              <w:adjustRightInd/>
              <w:spacing w:line="240" w:lineRule="auto"/>
              <w:ind w:left="0" w:right="0"/>
              <w:rPr>
                <w:rFonts w:hint="default" w:ascii="仿宋" w:hAnsi="仿宋" w:eastAsia="仿宋" w:cs="仿宋"/>
                <w:sz w:val="24"/>
                <w:szCs w:val="24"/>
                <w:lang w:val="en-US" w:eastAsia="zh-CN"/>
              </w:rPr>
            </w:pPr>
            <w:r>
              <w:rPr>
                <w:rFonts w:hint="eastAsia" w:ascii="仿宋" w:hAnsi="仿宋" w:eastAsia="仿宋" w:cs="仿宋"/>
                <w:sz w:val="24"/>
                <w:szCs w:val="24"/>
                <w:lang w:eastAsia="zh-CN"/>
              </w:rPr>
              <w:t>心理援助热线系统租赁服务</w:t>
            </w:r>
            <w:r>
              <w:rPr>
                <w:rFonts w:hint="eastAsia" w:ascii="仿宋" w:hAnsi="仿宋" w:eastAsia="仿宋" w:cs="仿宋"/>
                <w:sz w:val="24"/>
                <w:szCs w:val="24"/>
                <w:lang w:val="en-US" w:eastAsia="zh-CN"/>
              </w:rPr>
              <w:t>1年</w:t>
            </w:r>
          </w:p>
        </w:tc>
        <w:tc>
          <w:tcPr>
            <w:tcW w:w="3522" w:type="dxa"/>
            <w:noWrap/>
            <w:vAlign w:val="center"/>
          </w:tcPr>
          <w:p>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40</w:t>
            </w:r>
            <w:r>
              <w:rPr>
                <w:rFonts w:hint="eastAsia" w:ascii="仿宋" w:hAnsi="仿宋" w:eastAsia="仿宋" w:cs="仿宋"/>
                <w:sz w:val="24"/>
                <w:szCs w:val="24"/>
              </w:rPr>
              <w:t>000.00</w:t>
            </w:r>
          </w:p>
        </w:tc>
      </w:tr>
      <w:bookmarkEnd w:id="0"/>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right="0" w:rightChars="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2.</w:t>
      </w:r>
      <w:r>
        <w:rPr>
          <w:rFonts w:hint="eastAsia" w:ascii="仿宋" w:hAnsi="仿宋" w:eastAsia="仿宋" w:cs="仿宋"/>
          <w:b/>
          <w:sz w:val="24"/>
          <w:szCs w:val="24"/>
        </w:rPr>
        <w:t>1</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lang w:eastAsia="zh-CN"/>
        </w:rPr>
        <w:t>采购</w:t>
      </w:r>
      <w:r>
        <w:rPr>
          <w:rFonts w:hint="eastAsia" w:ascii="仿宋" w:hAnsi="仿宋" w:eastAsia="仿宋" w:cs="仿宋"/>
          <w:b/>
          <w:sz w:val="24"/>
          <w:szCs w:val="24"/>
        </w:rPr>
        <w:t>清单</w:t>
      </w:r>
    </w:p>
    <w:tbl>
      <w:tblPr>
        <w:tblStyle w:val="16"/>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6450"/>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pPr>
              <w:spacing w:line="240"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序号</w:t>
            </w:r>
          </w:p>
        </w:tc>
        <w:tc>
          <w:tcPr>
            <w:tcW w:w="6450" w:type="dxa"/>
            <w:vAlign w:val="center"/>
          </w:tcPr>
          <w:p>
            <w:pPr>
              <w:spacing w:line="240"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lang w:val="en-US" w:eastAsia="zh-CN"/>
              </w:rPr>
              <w:t>项目</w:t>
            </w:r>
            <w:r>
              <w:rPr>
                <w:rFonts w:hint="eastAsia" w:ascii="仿宋" w:hAnsi="仿宋" w:eastAsia="仿宋" w:cs="仿宋"/>
                <w:b/>
                <w:kern w:val="0"/>
                <w:sz w:val="24"/>
                <w:szCs w:val="24"/>
              </w:rPr>
              <w:t>名称</w:t>
            </w:r>
          </w:p>
        </w:tc>
        <w:tc>
          <w:tcPr>
            <w:tcW w:w="1755" w:type="dxa"/>
            <w:vAlign w:val="center"/>
          </w:tcPr>
          <w:p>
            <w:pPr>
              <w:spacing w:line="240"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pPr>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6450" w:type="dxa"/>
            <w:vAlign w:val="center"/>
          </w:tcPr>
          <w:p>
            <w:pPr>
              <w:spacing w:line="360" w:lineRule="auto"/>
              <w:jc w:val="left"/>
              <w:rPr>
                <w:rFonts w:hint="default" w:ascii="仿宋" w:hAnsi="仿宋" w:eastAsia="仿宋" w:cs="仿宋"/>
                <w:kern w:val="0"/>
                <w:sz w:val="24"/>
                <w:szCs w:val="24"/>
                <w:lang w:val="en-US" w:eastAsia="zh-CN"/>
              </w:rPr>
            </w:pPr>
            <w:r>
              <w:rPr>
                <w:rFonts w:hint="eastAsia" w:ascii="仿宋" w:hAnsi="仿宋" w:eastAsia="仿宋" w:cs="仿宋"/>
                <w:sz w:val="24"/>
                <w:szCs w:val="24"/>
                <w:lang w:eastAsia="zh-CN"/>
              </w:rPr>
              <w:t>心理援助热线系统租赁服务</w:t>
            </w:r>
          </w:p>
        </w:tc>
        <w:tc>
          <w:tcPr>
            <w:tcW w:w="1755" w:type="dxa"/>
            <w:vAlign w:val="center"/>
          </w:tcPr>
          <w:p>
            <w:pPr>
              <w:spacing w:line="360" w:lineRule="auto"/>
              <w:ind w:left="8" w:leftChars="-21" w:hanging="52" w:hangingChars="22"/>
              <w:jc w:val="center"/>
              <w:rPr>
                <w:rFonts w:hint="eastAsia" w:ascii="仿宋" w:hAnsi="仿宋" w:eastAsia="仿宋" w:cs="仿宋"/>
                <w:kern w:val="0"/>
                <w:sz w:val="24"/>
                <w:szCs w:val="24"/>
                <w:lang w:eastAsia="zh-CN"/>
              </w:rPr>
            </w:pPr>
            <w:r>
              <w:rPr>
                <w:rFonts w:hint="eastAsia" w:ascii="仿宋" w:hAnsi="仿宋" w:eastAsia="仿宋" w:cs="仿宋"/>
                <w:sz w:val="24"/>
                <w:szCs w:val="24"/>
                <w:lang w:val="en-US" w:eastAsia="zh-CN"/>
              </w:rPr>
              <w:t>1年</w:t>
            </w:r>
          </w:p>
        </w:tc>
      </w:tr>
    </w:tbl>
    <w:p>
      <w:pPr>
        <w:spacing w:before="156" w:beforeLines="50" w:after="156" w:afterLines="50" w:line="240" w:lineRule="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2.</w:t>
      </w:r>
      <w:r>
        <w:rPr>
          <w:rFonts w:hint="eastAsia" w:ascii="仿宋" w:hAnsi="仿宋" w:eastAsia="仿宋" w:cs="仿宋"/>
          <w:b/>
          <w:sz w:val="24"/>
          <w:szCs w:val="24"/>
        </w:rPr>
        <w:t>2</w:t>
      </w:r>
      <w:r>
        <w:rPr>
          <w:rFonts w:hint="eastAsia" w:ascii="仿宋" w:hAnsi="仿宋" w:eastAsia="仿宋" w:cs="仿宋"/>
          <w:b/>
          <w:sz w:val="24"/>
          <w:szCs w:val="24"/>
          <w:lang w:val="en-US" w:eastAsia="zh-CN"/>
        </w:rPr>
        <w:t xml:space="preserve"> 建设需求</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firstLine="420" w:firstLineChars="0"/>
        <w:textAlignment w:val="auto"/>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2.2.1 项目清单</w:t>
      </w:r>
    </w:p>
    <w:tbl>
      <w:tblPr>
        <w:tblStyle w:val="15"/>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4202"/>
        <w:gridCol w:w="1766"/>
        <w:gridCol w:w="2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序号</w:t>
            </w:r>
          </w:p>
        </w:tc>
        <w:tc>
          <w:tcPr>
            <w:tcW w:w="42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名称</w:t>
            </w:r>
          </w:p>
        </w:tc>
        <w:tc>
          <w:tcPr>
            <w:tcW w:w="176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数量</w:t>
            </w:r>
          </w:p>
        </w:tc>
        <w:tc>
          <w:tcPr>
            <w:tcW w:w="23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1</w:t>
            </w:r>
          </w:p>
        </w:tc>
        <w:tc>
          <w:tcPr>
            <w:tcW w:w="42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心理援助热线系统</w:t>
            </w:r>
          </w:p>
        </w:tc>
        <w:tc>
          <w:tcPr>
            <w:tcW w:w="176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1套</w:t>
            </w:r>
          </w:p>
        </w:tc>
        <w:tc>
          <w:tcPr>
            <w:tcW w:w="238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详见技术参数要求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2</w:t>
            </w:r>
          </w:p>
        </w:tc>
        <w:tc>
          <w:tcPr>
            <w:tcW w:w="420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val="0"/>
                <w:bCs w:val="0"/>
                <w:kern w:val="2"/>
                <w:sz w:val="21"/>
                <w:szCs w:val="22"/>
                <w:lang w:val="en-GB" w:eastAsia="zh-CN" w:bidi="ar-SA"/>
              </w:rPr>
            </w:pPr>
            <w:r>
              <w:rPr>
                <w:rFonts w:hint="eastAsia" w:ascii="仿宋" w:hAnsi="仿宋" w:eastAsia="仿宋" w:cs="仿宋"/>
                <w:b w:val="0"/>
                <w:bCs w:val="0"/>
              </w:rPr>
              <w:t>语音网关</w:t>
            </w:r>
          </w:p>
        </w:tc>
        <w:tc>
          <w:tcPr>
            <w:tcW w:w="176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2台</w:t>
            </w:r>
          </w:p>
        </w:tc>
        <w:tc>
          <w:tcPr>
            <w:tcW w:w="23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rPr>
            </w:pPr>
            <w:r>
              <w:rPr>
                <w:rFonts w:hint="eastAsia" w:ascii="仿宋" w:hAnsi="仿宋" w:eastAsia="仿宋" w:cs="仿宋"/>
                <w:b w:val="0"/>
                <w:bCs w:val="0"/>
              </w:rPr>
              <w:t>3</w:t>
            </w:r>
          </w:p>
        </w:tc>
        <w:tc>
          <w:tcPr>
            <w:tcW w:w="420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话务耳麦</w:t>
            </w:r>
          </w:p>
        </w:tc>
        <w:tc>
          <w:tcPr>
            <w:tcW w:w="176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2套</w:t>
            </w:r>
          </w:p>
        </w:tc>
        <w:tc>
          <w:tcPr>
            <w:tcW w:w="23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val="0"/>
                <w:bCs w:val="0"/>
              </w:rPr>
            </w:pPr>
          </w:p>
        </w:tc>
      </w:tr>
    </w:tbl>
    <w:p>
      <w:pPr>
        <w:spacing w:line="360" w:lineRule="auto"/>
        <w:ind w:firstLine="420" w:firstLineChars="0"/>
        <w:rPr>
          <w:rFonts w:hint="eastAsia" w:ascii="仿宋" w:hAnsi="仿宋" w:eastAsia="仿宋" w:cs="仿宋"/>
          <w:b/>
          <w:bCs/>
          <w:sz w:val="24"/>
        </w:rPr>
      </w:pPr>
      <w:r>
        <w:rPr>
          <w:rFonts w:hint="eastAsia" w:ascii="仿宋" w:hAnsi="仿宋" w:eastAsia="仿宋" w:cs="仿宋"/>
          <w:b/>
          <w:bCs/>
          <w:sz w:val="24"/>
          <w:lang w:val="en-US" w:eastAsia="zh-CN"/>
        </w:rPr>
        <w:t>2.2.2</w:t>
      </w:r>
      <w:r>
        <w:rPr>
          <w:rFonts w:hint="eastAsia" w:ascii="仿宋" w:hAnsi="仿宋" w:eastAsia="仿宋" w:cs="仿宋"/>
          <w:b/>
          <w:bCs/>
          <w:sz w:val="24"/>
        </w:rPr>
        <w:t>技术参数要求</w:t>
      </w:r>
    </w:p>
    <w:tbl>
      <w:tblPr>
        <w:tblStyle w:val="1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845"/>
        <w:gridCol w:w="6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84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项目分类</w:t>
            </w: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84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心理援助热线系统软件</w:t>
            </w: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支持电话呼入的并发数量≥4，支持图形化可配置IVR语音导航，ACD排队，语音接入和人工接入，来电弹屏，支持来电回拨，呼损回拨，VIP专线功能；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支持来电转接（盲转和协商转），呼叫转移，呼叫保持，三方通话，支持外地软电话外拨（可以键盘或鼠标输入电话号码，电脑外拨），多方会议功能；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color w:val="0000FF"/>
                <w:sz w:val="24"/>
                <w:szCs w:val="24"/>
              </w:rPr>
              <w:t>▲</w:t>
            </w:r>
            <w:r>
              <w:rPr>
                <w:rFonts w:hint="eastAsia" w:ascii="仿宋" w:hAnsi="仿宋" w:eastAsia="仿宋" w:cs="仿宋"/>
                <w:color w:val="0000FF"/>
                <w:sz w:val="24"/>
                <w:szCs w:val="24"/>
                <w:lang w:eastAsia="zh-CN"/>
              </w:rPr>
              <w:t>来电者从拨打开始，接听固定电话或手机铃声响起时间不超过</w:t>
            </w:r>
            <w:r>
              <w:rPr>
                <w:rFonts w:hint="eastAsia" w:ascii="仿宋" w:hAnsi="仿宋" w:eastAsia="仿宋" w:cs="仿宋"/>
                <w:color w:val="0000FF"/>
                <w:sz w:val="24"/>
                <w:szCs w:val="24"/>
                <w:lang w:val="en-US" w:eastAsia="zh-CN"/>
              </w:rPr>
              <w:t>35秒，</w:t>
            </w:r>
            <w:r>
              <w:rPr>
                <w:rFonts w:hint="eastAsia" w:ascii="仿宋" w:hAnsi="仿宋" w:eastAsia="仿宋" w:cs="仿宋"/>
                <w:color w:val="0000FF"/>
                <w:sz w:val="24"/>
                <w:szCs w:val="24"/>
              </w:rPr>
              <w:t>支持录音，留言，质检功能；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支持多地分机，可实现≥3个心理援助中心功能同步</w:t>
            </w:r>
            <w:r>
              <w:rPr>
                <w:rFonts w:hint="eastAsia" w:ascii="仿宋" w:hAnsi="仿宋" w:eastAsia="仿宋" w:cs="仿宋"/>
                <w:sz w:val="24"/>
                <w:szCs w:val="24"/>
                <w:lang w:eastAsia="zh-CN"/>
              </w:rPr>
              <w:t>，</w:t>
            </w:r>
            <w:r>
              <w:rPr>
                <w:rFonts w:hint="eastAsia" w:ascii="仿宋" w:hAnsi="仿宋" w:eastAsia="仿宋" w:cs="仿宋"/>
                <w:sz w:val="24"/>
                <w:szCs w:val="24"/>
              </w:rPr>
              <w:t>支持一键报警功能；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lang w:eastAsia="zh-CN"/>
              </w:rPr>
            </w:pPr>
            <w:r>
              <w:rPr>
                <w:rFonts w:hint="eastAsia" w:ascii="仿宋" w:hAnsi="仿宋" w:eastAsia="仿宋" w:cs="仿宋"/>
                <w:color w:val="0000FF"/>
                <w:sz w:val="24"/>
                <w:szCs w:val="24"/>
              </w:rPr>
              <w:t>★</w:t>
            </w:r>
            <w:r>
              <w:rPr>
                <w:rFonts w:hint="eastAsia" w:ascii="仿宋" w:hAnsi="仿宋" w:eastAsia="仿宋" w:cs="仿宋"/>
                <w:color w:val="0000FF"/>
                <w:sz w:val="24"/>
                <w:szCs w:val="24"/>
                <w:lang w:eastAsia="zh-CN"/>
              </w:rPr>
              <w:t>数据管理满足</w:t>
            </w:r>
            <w:r>
              <w:rPr>
                <w:rFonts w:hint="eastAsia" w:ascii="仿宋" w:hAnsi="仿宋" w:eastAsia="仿宋" w:cs="仿宋"/>
                <w:color w:val="0000FF"/>
                <w:sz w:val="24"/>
                <w:szCs w:val="24"/>
              </w:rPr>
              <w:t>《国家卫生健康委员会办公厅关于印发12356心理援助热线基本数据目录参考指引(试行)的通知》（国卫办医政函〔2025〕164号）</w:t>
            </w:r>
            <w:r>
              <w:rPr>
                <w:rFonts w:hint="eastAsia" w:ascii="仿宋" w:hAnsi="仿宋" w:eastAsia="仿宋" w:cs="仿宋"/>
                <w:color w:val="0000FF"/>
                <w:sz w:val="24"/>
                <w:szCs w:val="24"/>
                <w:lang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6</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支持来电转手机功能：可根据需求判断下班时间，周末，节假日等条件转手机；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7</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支持语音（中英）转文字功能，准确率≥95%；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支持来电统计功能（包含来电时间段、来电数量、时长、内容等）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9</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支持客户信息维护：包含咨询人姓名、电话、年龄段、情绪状态、自杀意念、主要症状、生活事件、家庭情况、就医经历等字段；并能保存历史的沟通记录，来电记录；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10</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支持工单管理：来电或会话接入时能在当前界面新建工单，显示历史工单信息以及工单办结情况，工单流程可自定义编辑，工单指派需方便便捷；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11</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支持知识库管理：知识库自由编辑，可加入文字、图片、短视频，支持按关键字搜索和热点排序；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12</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KPI报表：多维度全方位的报表统计，呼叫记录报表、录音留言报表、会话报表、工单报表、满意度评价报表等，时间长需支持按天、周、月、季度等统计维度，支持列表和图表，并可进行来电地区分析，时间段分析等，所有报表均支持导出到exc</w:t>
            </w:r>
            <w:r>
              <w:rPr>
                <w:rFonts w:hint="eastAsia" w:ascii="仿宋" w:hAnsi="仿宋" w:eastAsia="仿宋" w:cs="仿宋"/>
                <w:sz w:val="24"/>
                <w:szCs w:val="24"/>
                <w:lang w:val="en-US" w:eastAsia="zh-CN"/>
              </w:rPr>
              <w:t>el</w:t>
            </w:r>
            <w:r>
              <w:rPr>
                <w:rFonts w:hint="eastAsia" w:ascii="仿宋" w:hAnsi="仿宋" w:eastAsia="仿宋" w:cs="仿宋"/>
                <w:sz w:val="24"/>
                <w:szCs w:val="24"/>
              </w:rPr>
              <w:t>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13</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支持量表管理：系统支持实现抑郁症筛查量表、焦虑症筛查量表和抑郁及自杀危险性评估标量表等。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14</w:t>
            </w:r>
          </w:p>
        </w:tc>
        <w:tc>
          <w:tcPr>
            <w:tcW w:w="18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▲系统应满足《国家卫生健康委员会办公厅关于印发12356心理援助热线基本数据目录参考指引（试行）的通知》（国卫办医政函【2025】164号）要求的各种报表数据；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5</w:t>
            </w:r>
          </w:p>
        </w:tc>
        <w:tc>
          <w:tcPr>
            <w:tcW w:w="184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语音模拟网关</w:t>
            </w:r>
            <w:r>
              <w:rPr>
                <w:rFonts w:hint="eastAsia" w:ascii="仿宋" w:hAnsi="仿宋" w:eastAsia="仿宋" w:cs="仿宋"/>
                <w:sz w:val="24"/>
                <w:szCs w:val="24"/>
                <w:lang w:val="en-US" w:eastAsia="zh-CN"/>
              </w:rPr>
              <w:t>技术</w:t>
            </w:r>
            <w:r>
              <w:rPr>
                <w:rFonts w:hint="eastAsia" w:ascii="仿宋" w:hAnsi="仿宋" w:eastAsia="仿宋" w:cs="仿宋"/>
                <w:sz w:val="24"/>
                <w:szCs w:val="24"/>
              </w:rPr>
              <w:t>参数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支持TDM呼叫：从TDM线路呼入，经过号码变换，根据指定的路由规则获取IP地址来进行呼叫；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支持IP呼叫：从IP线路呼入，经过路由和号码变换，连接指定的TDM线路进行语音通信；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支持号码变换：删减号码头部或尾部的数字，或者对号码添加前缀或后缀；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支持呼叫转接:包括无条件转呼、遇忙转呼和无应答转呼;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支持呼叫等待:在FXS口处于通话状态时再接受IP呼入的一通电话，并使其处于等待状态，待通话结束挂机后，再对FXS口振铃并等待应答;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支持自动拨号:摘机后超过一定时间没有拨号，则自动按照设定的号码进行呼叫;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支持免打扰:拒绝呼入端口的所有呼叫;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支持来电显示:显示来电号码;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支持回波抵消:在FXS口通话过程中提供回波抵消功能;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支持TDM/VoIP路由:用户可以设置路由路径，从IP到TDM或从TDM到IP;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支持传真:用户可以设置传真模式、最大传真速率、训练方式、纠错模式等传真参数;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支持断电逃生:断电时，将FXS口连接的话机与FXO口连接的外线联通，保证FXS口与PSTN之间的呼叫不受影响;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支持断网逃生:网络故障或呼叫超时情况下，根据配置路由到相应端口;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支持发送极性反转信号:当网关检测到被叫方摘机时，向对应FXS通道发送极性反转信号;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支持检测极性反转信号:当FXO口检测到线路中出现极性反转信号时，对应通道才进入通话状态;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支持同时注册多服务器:支持同时设置网关对外注册的主注册服务器和备用注册服务器;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支持IMS注册:支持注册到IMS网络下的服务器;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支持SIP坐席:支持SIP终端注册到网关，成为网关的SIP坐席;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支持群振:FXS支持端口组内端口群振;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支持轮振:FXS支持端口组内端口轮振;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支持抢接:FXS支持端口组内端口抢接功能;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支持集中管理:网关可以注册到云管理系统，接受平台的统一管理;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支持SIP信令，兼容的协议：SIP V1.0/2.0、RFC3261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语音:音频编解码格式 G.711A、G.711U、G.729A/B、G.723、G.722、AMR、iLBC、DTMF模式、RFC2833、SIP INFO、INBAND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支持网络协议：TCP/UDP、HTTP、ARP/RARP、DNS、NTP、TFTP、TELNET、STUN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支持静态IP：IP地址修改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支持DNS：域名解析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支持管理认证：支持管理员认证确保资源和数据的安全性；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支持WEB配置：通过WEB界面修改配置；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支持语言：中文，英文；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支持软件升级：基于WEB的用户界面、网关服务、内核及固件升级；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支持跟踪测试：基于WEB的Ping测试和Tracert测试；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支持SysLog类型：ERROR、WARNING、INFO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p>
        </w:tc>
        <w:tc>
          <w:tcPr>
            <w:tcW w:w="184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语音模拟网关硬件主要参数</w:t>
            </w: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网络接口数量：≥2 （10/100 BASE-TX（RJ-45））；自适应带宽：支持；自动翻转：支持；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FXS接口：接口数量：4/8/16/32；接口类型：RJ11；最大传输距离：≥5000米；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阻抗：电话线阻抗：符合国家标准三元件网络阻抗；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串口：接口数量：1（RS-232）；波特率：115200bps；连接器类型：RJ45转DB-9连接器；数据位：8 bits；停止位：1 bit；校验：无；流控：无；注意：串口连接时，请按照以上配置进行设置，否则可能造成异常。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电源要求：接入电压：12V DC ≥3A直流电源；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信令和协议：SIP信令  兼容的协议：SIP V1.0/2.0、RFC3261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音频编解码速率：G.711A 64 kbps，G.711U 64 kbps，G.729A/B 8 kbps，G723 5.3/6.3 kbps，G722 64 kbps，AMR 4.75 kbps，iLBC，13.3/15.2 kbps；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采样率：≥8kHz；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7</w:t>
            </w:r>
          </w:p>
        </w:tc>
        <w:tc>
          <w:tcPr>
            <w:tcW w:w="184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话务耳麦参数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接口类型：直线PC(3.5mm*2) ；直线RJ09可选；QD-PC(3.5mm*2) ；QD-RJ09；QD-USB可选；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主要功能：单边头戴式高清晰耳机；接听及送话音质清晰响亮；抗噪音麦克风，送话声音清晰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柔软的人造革耳机套；可360度旋转式头卡及300度旋转通话管吊臂；耳机可去除≥75%的噪音效果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麦克风含齿轮定位功能；带快速连接线（QD接口）（可选）；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产品特征：机线：≥2米（曲线）；耳机阻抗：≤150欧姆；频率响应：≥100—10KHz；环境噪声：≤70dB；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84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lang w:eastAsia="zh-CN"/>
              </w:rPr>
            </w:pPr>
            <w:r>
              <w:rPr>
                <w:rFonts w:hint="eastAsia" w:ascii="仿宋" w:hAnsi="仿宋" w:eastAsia="仿宋" w:cs="仿宋"/>
                <w:sz w:val="24"/>
                <w:szCs w:val="24"/>
              </w:rPr>
              <w:t>其它</w:t>
            </w:r>
            <w:r>
              <w:rPr>
                <w:rFonts w:hint="eastAsia" w:ascii="仿宋" w:hAnsi="仿宋" w:eastAsia="仿宋" w:cs="仿宋"/>
                <w:sz w:val="24"/>
                <w:szCs w:val="24"/>
                <w:lang w:val="en-US" w:eastAsia="zh-CN"/>
              </w:rPr>
              <w:t>要求</w:t>
            </w:r>
          </w:p>
        </w:tc>
        <w:tc>
          <w:tcPr>
            <w:tcW w:w="67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基于.NET技术构建平台的应用系统</w:t>
            </w:r>
            <w:r>
              <w:rPr>
                <w:rFonts w:hint="eastAsia" w:ascii="仿宋" w:hAnsi="仿宋" w:eastAsia="仿宋" w:cs="仿宋"/>
                <w:sz w:val="24"/>
                <w:szCs w:val="24"/>
                <w:lang w:eastAsia="zh-CN"/>
              </w:rPr>
              <w:t>，</w:t>
            </w:r>
            <w:r>
              <w:rPr>
                <w:rFonts w:hint="eastAsia" w:ascii="仿宋" w:hAnsi="仿宋" w:eastAsia="仿宋" w:cs="仿宋"/>
                <w:sz w:val="24"/>
                <w:szCs w:val="24"/>
              </w:rPr>
              <w:t>基于JSON格式的数据设计；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lang w:eastAsia="zh-CN"/>
              </w:rPr>
              <w:t>来电者从拨打开始，</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▲基于B/S结构、提供友好的客户端界面；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基于动态请求的数据交换；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精度要求屏幕刷新之间的衔接及查询切换之间的时间控制在3秒内。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p>
        </w:tc>
        <w:tc>
          <w:tcPr>
            <w:tcW w:w="67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z w:val="24"/>
                <w:szCs w:val="24"/>
              </w:rPr>
              <w:t>时间特性：在软件方面，响应时间、更新处理时间、数据传送和转换时间、处理和解决问题时间，都迅速响应。</w:t>
            </w:r>
          </w:p>
        </w:tc>
      </w:tr>
    </w:tbl>
    <w:p>
      <w:pPr>
        <w:spacing w:line="240" w:lineRule="auto"/>
        <w:rPr>
          <w:rFonts w:hint="eastAsia" w:ascii="仿宋" w:hAnsi="仿宋" w:eastAsia="仿宋" w:cs="仿宋"/>
          <w:b/>
          <w:bCs/>
          <w:sz w:val="24"/>
          <w:szCs w:val="24"/>
          <w:lang w:val="en-US" w:eastAsia="zh-CN"/>
        </w:rPr>
      </w:pPr>
    </w:p>
    <w:p>
      <w:pPr>
        <w:spacing w:line="240" w:lineRule="auto"/>
        <w:rPr>
          <w:rFonts w:hint="eastAsia" w:ascii="仿宋" w:hAnsi="仿宋" w:eastAsia="仿宋" w:cs="仿宋"/>
          <w:b/>
          <w:bCs/>
          <w:sz w:val="24"/>
          <w:szCs w:val="24"/>
        </w:rPr>
      </w:pP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、服务及其他要求</w:t>
      </w:r>
    </w:p>
    <w:p>
      <w:pPr>
        <w:pStyle w:val="20"/>
        <w:ind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1.质保期</w:t>
      </w:r>
    </w:p>
    <w:p>
      <w:pPr>
        <w:pStyle w:val="20"/>
        <w:ind w:left="420" w:leftChars="0"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保修期内提供原厂上门服务；中标人在投标文件中说明在保质期内提供的服务计划。</w:t>
      </w:r>
    </w:p>
    <w:p>
      <w:pPr>
        <w:pStyle w:val="20"/>
        <w:ind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2.交货</w:t>
      </w:r>
    </w:p>
    <w:p>
      <w:pPr>
        <w:pStyle w:val="20"/>
        <w:ind w:left="420" w:leftChars="0"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交货期：项目中标后30个工作日完成系统建设并上线运行，验收完成后一年。</w:t>
      </w:r>
    </w:p>
    <w:p>
      <w:pPr>
        <w:pStyle w:val="20"/>
        <w:ind w:left="420" w:leftChars="0"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交货地点：由甲方指定地点交货</w:t>
      </w:r>
    </w:p>
    <w:p>
      <w:pPr>
        <w:pStyle w:val="20"/>
        <w:ind w:left="420" w:leftChars="0"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交货时提供用户操作手册。</w:t>
      </w:r>
    </w:p>
    <w:p>
      <w:pPr>
        <w:pStyle w:val="20"/>
        <w:ind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3.安装调试</w:t>
      </w:r>
    </w:p>
    <w:p>
      <w:pPr>
        <w:pStyle w:val="20"/>
        <w:ind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b/>
      </w:r>
      <w:r>
        <w:rPr>
          <w:rFonts w:hint="eastAsia" w:ascii="仿宋" w:hAnsi="仿宋" w:eastAsia="仿宋" w:cs="仿宋"/>
          <w:sz w:val="24"/>
          <w:szCs w:val="24"/>
          <w:lang w:val="en-US" w:eastAsia="zh-CN"/>
        </w:rPr>
        <w:t>安装过程中发生的费用由卖方负责。</w:t>
      </w:r>
    </w:p>
    <w:p>
      <w:pPr>
        <w:pStyle w:val="20"/>
        <w:ind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b/>
      </w:r>
      <w:r>
        <w:rPr>
          <w:rFonts w:hint="eastAsia" w:ascii="仿宋" w:hAnsi="仿宋" w:eastAsia="仿宋" w:cs="仿宋"/>
          <w:sz w:val="24"/>
          <w:szCs w:val="24"/>
          <w:lang w:val="en-US" w:eastAsia="zh-CN"/>
        </w:rPr>
        <w:t>随货资料：提供使用操作手册2份，维修手册1份。</w:t>
      </w:r>
    </w:p>
    <w:p>
      <w:pPr>
        <w:pStyle w:val="20"/>
        <w:ind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4.质保服务</w:t>
      </w:r>
    </w:p>
    <w:p>
      <w:pPr>
        <w:pStyle w:val="20"/>
        <w:ind w:left="420" w:leftChars="0"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使用期内卖方为本项目提供免费版本迭代、升级，需求变更、优化升级，且免费接入相关系统。</w:t>
      </w:r>
    </w:p>
    <w:p>
      <w:pPr>
        <w:pStyle w:val="20"/>
        <w:ind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5.数据恢复服务</w:t>
      </w:r>
    </w:p>
    <w:p>
      <w:pPr>
        <w:pStyle w:val="20"/>
        <w:ind w:left="420" w:leftChars="0"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数据出现不可挽回损失时，中标人根据招标人提供的备份数据，帮助数据恢复。</w:t>
      </w:r>
    </w:p>
    <w:p>
      <w:pPr>
        <w:pStyle w:val="20"/>
        <w:numPr>
          <w:ilvl w:val="0"/>
          <w:numId w:val="0"/>
        </w:numPr>
        <w:ind w:firstLine="42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6.培训</w:t>
      </w:r>
    </w:p>
    <w:p>
      <w:pPr>
        <w:pStyle w:val="20"/>
        <w:numPr>
          <w:ilvl w:val="0"/>
          <w:numId w:val="0"/>
        </w:numPr>
        <w:ind w:left="420" w:leftChars="0" w:firstLine="420" w:firstLineChars="0"/>
        <w:rPr>
          <w:rFonts w:hint="default"/>
          <w:lang w:val="en-US" w:eastAsia="zh-CN"/>
        </w:rPr>
      </w:pPr>
      <w:r>
        <w:rPr>
          <w:rFonts w:hint="eastAsia" w:ascii="仿宋" w:hAnsi="仿宋" w:eastAsia="仿宋" w:cs="仿宋"/>
          <w:sz w:val="24"/>
          <w:szCs w:val="24"/>
          <w:lang w:val="en-US" w:eastAsia="zh-CN"/>
        </w:rPr>
        <w:t>中标人应对用户的操作人员进行操作培训，使其能对设备进行熟练的操作，提供设备操作手册。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rPr>
        <w:t>四、</w:t>
      </w:r>
      <w:r>
        <w:rPr>
          <w:rFonts w:hint="eastAsia" w:ascii="仿宋" w:hAnsi="仿宋" w:eastAsia="仿宋" w:cs="仿宋"/>
          <w:b/>
          <w:bCs w:val="0"/>
          <w:kern w:val="0"/>
          <w:sz w:val="24"/>
          <w:szCs w:val="24"/>
        </w:rPr>
        <w:t>付款方式</w:t>
      </w:r>
    </w:p>
    <w:bookmarkEnd w:id="1"/>
    <w:bookmarkEnd w:id="2"/>
    <w:bookmarkEnd w:id="3"/>
    <w:bookmarkEnd w:id="4"/>
    <w:p>
      <w:pPr>
        <w:spacing w:line="240" w:lineRule="auto"/>
        <w:ind w:firstLine="420" w:firstLineChars="0"/>
        <w:rPr>
          <w:rFonts w:hint="eastAsia" w:ascii="仿宋" w:hAnsi="仿宋" w:eastAsia="仿宋" w:cs="仿宋"/>
          <w:b/>
          <w:color w:val="000000"/>
          <w:kern w:val="2"/>
          <w:sz w:val="24"/>
          <w:szCs w:val="24"/>
          <w:lang w:val="en-US" w:eastAsia="zh-CN" w:bidi="ar-SA"/>
        </w:rPr>
      </w:pPr>
      <w:r>
        <w:rPr>
          <w:rFonts w:hint="eastAsia" w:ascii="仿宋" w:hAnsi="仿宋" w:eastAsia="仿宋" w:cs="仿宋"/>
          <w:color w:val="auto"/>
          <w:kern w:val="0"/>
          <w:sz w:val="24"/>
          <w:szCs w:val="24"/>
          <w:lang w:val="zh-CN"/>
        </w:rPr>
        <w:t>按《浙江省财政厅关于进一步发挥政府采购政策 功能全力推动经济稳进提质的通知》（浙财采监〔2022〕3号）等文件要求执行，具体付款方式由双方协商后在合同中明确。不得把履约保证金转为质量保证金或收取质量保证金。</w:t>
      </w:r>
      <w:r>
        <w:rPr>
          <w:rFonts w:hint="eastAsia" w:ascii="仿宋" w:hAnsi="仿宋" w:eastAsia="仿宋" w:cs="仿宋"/>
          <w:b/>
          <w:color w:val="000000"/>
          <w:kern w:val="2"/>
          <w:sz w:val="24"/>
          <w:szCs w:val="24"/>
          <w:lang w:val="en-US" w:eastAsia="zh-CN" w:bidi="ar-SA"/>
        </w:rPr>
        <w:br w:type="page"/>
      </w:r>
    </w:p>
    <w:p>
      <w:pPr>
        <w:pStyle w:val="8"/>
        <w:pageBreakBefore/>
        <w:spacing w:line="240" w:lineRule="auto"/>
        <w:ind w:firstLine="726"/>
        <w:jc w:val="center"/>
        <w:rPr>
          <w:rFonts w:hint="eastAsia" w:ascii="仿宋" w:hAnsi="仿宋" w:eastAsia="仿宋" w:cs="仿宋"/>
          <w:b/>
          <w:sz w:val="36"/>
          <w:szCs w:val="36"/>
        </w:rPr>
      </w:pPr>
      <w:r>
        <w:rPr>
          <w:rFonts w:hint="eastAsia" w:ascii="仿宋" w:hAnsi="仿宋" w:eastAsia="仿宋" w:cs="仿宋"/>
          <w:b/>
          <w:sz w:val="36"/>
          <w:szCs w:val="36"/>
        </w:rPr>
        <w:t>评标方法及标准</w:t>
      </w:r>
    </w:p>
    <w:p>
      <w:pPr>
        <w:spacing w:line="240" w:lineRule="auto"/>
        <w:jc w:val="left"/>
        <w:rPr>
          <w:rFonts w:hint="eastAsia" w:ascii="仿宋" w:hAnsi="仿宋" w:eastAsia="仿宋" w:cs="仿宋"/>
          <w:b/>
          <w:sz w:val="24"/>
          <w:szCs w:val="24"/>
        </w:rPr>
      </w:pPr>
      <w:r>
        <w:rPr>
          <w:rFonts w:hint="eastAsia" w:ascii="仿宋" w:hAnsi="仿宋" w:eastAsia="仿宋" w:cs="仿宋"/>
          <w:b/>
          <w:sz w:val="24"/>
          <w:szCs w:val="24"/>
        </w:rPr>
        <w:t>1、评标方法：</w:t>
      </w:r>
    </w:p>
    <w:p>
      <w:pPr>
        <w:spacing w:line="24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的中标候选人。中标候选人并列的，采用随机抽取的方式确定。</w:t>
      </w:r>
    </w:p>
    <w:p>
      <w:pPr>
        <w:spacing w:line="240" w:lineRule="auto"/>
        <w:ind w:firstLine="472" w:firstLineChars="196"/>
        <w:jc w:val="left"/>
        <w:rPr>
          <w:rFonts w:hint="eastAsia" w:ascii="仿宋" w:hAnsi="仿宋" w:eastAsia="仿宋" w:cs="仿宋"/>
          <w:b/>
          <w:sz w:val="24"/>
          <w:szCs w:val="24"/>
        </w:rPr>
      </w:pPr>
      <w:r>
        <w:rPr>
          <w:rFonts w:hint="eastAsia" w:ascii="仿宋" w:hAnsi="仿宋" w:eastAsia="仿宋" w:cs="仿宋"/>
          <w:b/>
          <w:sz w:val="24"/>
          <w:szCs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240" w:lineRule="auto"/>
        <w:ind w:firstLine="482" w:firstLineChars="200"/>
        <w:jc w:val="left"/>
        <w:rPr>
          <w:rFonts w:hint="eastAsia" w:ascii="仿宋" w:hAnsi="仿宋" w:eastAsia="仿宋" w:cs="仿宋"/>
          <w:sz w:val="24"/>
          <w:szCs w:val="24"/>
        </w:rPr>
      </w:pPr>
      <w:r>
        <w:rPr>
          <w:rFonts w:hint="eastAsia" w:ascii="仿宋" w:hAnsi="仿宋" w:eastAsia="仿宋" w:cs="仿宋"/>
          <w:b/>
          <w:sz w:val="24"/>
          <w:szCs w:val="24"/>
        </w:rPr>
        <w:t>非单一产品采购项目，采购人应当根据采购项目技术构成、产品价格比重等合理确定核心产品，并在招标文件中载明。多家投标人提供的核心产品品牌相同的，按前款规定处理。</w:t>
      </w:r>
    </w:p>
    <w:p>
      <w:pPr>
        <w:numPr>
          <w:ilvl w:val="0"/>
          <w:numId w:val="2"/>
        </w:numPr>
        <w:spacing w:line="240" w:lineRule="auto"/>
        <w:ind w:left="360" w:leftChars="0" w:hanging="360" w:firstLineChars="0"/>
        <w:jc w:val="left"/>
        <w:rPr>
          <w:rFonts w:hint="eastAsia" w:ascii="仿宋" w:hAnsi="仿宋" w:eastAsia="仿宋" w:cs="仿宋"/>
          <w:b/>
          <w:sz w:val="24"/>
          <w:szCs w:val="24"/>
        </w:rPr>
      </w:pPr>
      <w:r>
        <w:rPr>
          <w:rFonts w:hint="eastAsia" w:ascii="仿宋" w:hAnsi="仿宋" w:eastAsia="仿宋" w:cs="仿宋"/>
          <w:b/>
          <w:sz w:val="24"/>
          <w:szCs w:val="24"/>
        </w:rPr>
        <w:t>评分标准：</w:t>
      </w:r>
    </w:p>
    <w:p>
      <w:pPr>
        <w:numPr>
          <w:ilvl w:val="0"/>
          <w:numId w:val="0"/>
        </w:numPr>
        <w:spacing w:line="240" w:lineRule="auto"/>
        <w:ind w:leftChars="0"/>
        <w:jc w:val="left"/>
        <w:rPr>
          <w:rFonts w:hint="eastAsia" w:ascii="仿宋" w:hAnsi="仿宋" w:eastAsia="仿宋" w:cs="仿宋"/>
          <w:sz w:val="24"/>
          <w:szCs w:val="24"/>
        </w:rPr>
      </w:pPr>
      <w:r>
        <w:rPr>
          <w:rFonts w:hint="eastAsia" w:ascii="仿宋" w:hAnsi="仿宋" w:eastAsia="仿宋" w:cs="仿宋"/>
          <w:sz w:val="24"/>
          <w:szCs w:val="24"/>
        </w:rPr>
        <w:t>共100分，其中商务技术分</w:t>
      </w:r>
      <w:r>
        <w:rPr>
          <w:rFonts w:hint="eastAsia" w:ascii="仿宋" w:hAnsi="仿宋" w:eastAsia="仿宋" w:cs="仿宋"/>
          <w:sz w:val="24"/>
          <w:szCs w:val="24"/>
          <w:lang w:val="en-US" w:eastAsia="zh-CN"/>
        </w:rPr>
        <w:t>7</w:t>
      </w:r>
      <w:r>
        <w:rPr>
          <w:rFonts w:hint="eastAsia" w:ascii="仿宋" w:hAnsi="仿宋" w:eastAsia="仿宋" w:cs="仿宋"/>
          <w:sz w:val="24"/>
          <w:szCs w:val="24"/>
        </w:rPr>
        <w:t>0分，价格分</w:t>
      </w:r>
      <w:r>
        <w:rPr>
          <w:rFonts w:hint="eastAsia" w:ascii="仿宋" w:hAnsi="仿宋" w:eastAsia="仿宋" w:cs="仿宋"/>
          <w:sz w:val="24"/>
          <w:szCs w:val="24"/>
          <w:lang w:val="en-US" w:eastAsia="zh-CN"/>
        </w:rPr>
        <w:t>3</w:t>
      </w:r>
      <w:r>
        <w:rPr>
          <w:rFonts w:hint="eastAsia" w:ascii="仿宋" w:hAnsi="仿宋" w:eastAsia="仿宋" w:cs="仿宋"/>
          <w:sz w:val="24"/>
          <w:szCs w:val="24"/>
        </w:rPr>
        <w:t>0分。评分依下述所列为评标打分依据，分值如下（计算分值时，按其算术平均值保留小数2位）。</w:t>
      </w:r>
    </w:p>
    <w:p>
      <w:pPr>
        <w:spacing w:line="240" w:lineRule="auto"/>
        <w:rPr>
          <w:rFonts w:hint="eastAsia" w:ascii="仿宋" w:hAnsi="仿宋" w:eastAsia="仿宋" w:cs="仿宋"/>
          <w:b/>
          <w:bCs/>
          <w:iCs/>
          <w:sz w:val="24"/>
          <w:szCs w:val="24"/>
        </w:rPr>
      </w:pPr>
      <w:r>
        <w:rPr>
          <w:rFonts w:hint="eastAsia" w:ascii="仿宋" w:hAnsi="仿宋" w:eastAsia="仿宋" w:cs="仿宋"/>
          <w:b/>
          <w:bCs/>
          <w:iCs/>
          <w:sz w:val="24"/>
          <w:szCs w:val="24"/>
          <w:lang w:val="en-US" w:eastAsia="zh-CN"/>
        </w:rPr>
        <w:t>2.1</w:t>
      </w:r>
      <w:r>
        <w:rPr>
          <w:rFonts w:hint="eastAsia" w:ascii="仿宋" w:hAnsi="仿宋" w:eastAsia="仿宋" w:cs="仿宋"/>
          <w:b/>
          <w:bCs/>
          <w:iCs/>
          <w:sz w:val="24"/>
          <w:szCs w:val="24"/>
        </w:rPr>
        <w:t>商务技术分（70分）</w:t>
      </w:r>
    </w:p>
    <w:tbl>
      <w:tblPr>
        <w:tblStyle w:val="15"/>
        <w:tblW w:w="54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629"/>
        <w:gridCol w:w="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3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评审内容</w:t>
            </w:r>
          </w:p>
        </w:tc>
        <w:tc>
          <w:tcPr>
            <w:tcW w:w="3897"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评分标准</w:t>
            </w:r>
          </w:p>
        </w:tc>
        <w:tc>
          <w:tcPr>
            <w:tcW w:w="468"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34"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技术指标响应程度</w:t>
            </w:r>
          </w:p>
        </w:tc>
        <w:tc>
          <w:tcPr>
            <w:tcW w:w="389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技术指标中每存在负偏离一项按偏离程度扣1分，扣完为止；标注“▲”技术指标每负偏离一项扣3分，扣完为止；标注“★”技术指标不允许负偏离，否则按无效标处理。</w:t>
            </w:r>
          </w:p>
        </w:tc>
        <w:tc>
          <w:tcPr>
            <w:tcW w:w="468"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634"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lang w:val="pt-BR"/>
              </w:rPr>
              <w:t>投标人综合实力</w:t>
            </w:r>
          </w:p>
        </w:tc>
        <w:tc>
          <w:tcPr>
            <w:tcW w:w="389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kern w:val="0"/>
                <w:sz w:val="24"/>
                <w:szCs w:val="24"/>
              </w:rPr>
              <w:t>根据投标人信誉、企业综合情况等进行比较打分。（0-</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分）</w:t>
            </w:r>
          </w:p>
        </w:tc>
        <w:tc>
          <w:tcPr>
            <w:tcW w:w="468"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34"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公司业绩</w:t>
            </w:r>
          </w:p>
        </w:tc>
        <w:tc>
          <w:tcPr>
            <w:tcW w:w="389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2</w:t>
            </w:r>
            <w:r>
              <w:rPr>
                <w:rFonts w:hint="eastAsia" w:ascii="仿宋" w:hAnsi="仿宋" w:eastAsia="仿宋" w:cs="仿宋"/>
                <w:sz w:val="24"/>
                <w:szCs w:val="24"/>
              </w:rPr>
              <w:t>年1月1日起</w:t>
            </w:r>
            <w:r>
              <w:rPr>
                <w:rFonts w:hint="eastAsia" w:ascii="仿宋" w:hAnsi="仿宋" w:eastAsia="仿宋" w:cs="仿宋"/>
                <w:sz w:val="24"/>
                <w:szCs w:val="24"/>
                <w:lang w:val="pt-BR"/>
              </w:rPr>
              <w:t>投标供应商同类产品的销售业绩，每提供1个合同得</w:t>
            </w:r>
            <w:r>
              <w:rPr>
                <w:rFonts w:hint="eastAsia" w:ascii="仿宋" w:hAnsi="仿宋" w:eastAsia="仿宋" w:cs="仿宋"/>
                <w:sz w:val="24"/>
                <w:szCs w:val="24"/>
                <w:lang w:val="en-US" w:eastAsia="zh-CN"/>
              </w:rPr>
              <w:t>1</w:t>
            </w:r>
            <w:r>
              <w:rPr>
                <w:rFonts w:hint="eastAsia" w:ascii="仿宋" w:hAnsi="仿宋" w:eastAsia="仿宋" w:cs="仿宋"/>
                <w:sz w:val="24"/>
                <w:szCs w:val="24"/>
                <w:lang w:val="pt-BR"/>
              </w:rPr>
              <w:t>分，最高得</w:t>
            </w:r>
            <w:r>
              <w:rPr>
                <w:rFonts w:hint="eastAsia" w:ascii="仿宋" w:hAnsi="仿宋" w:eastAsia="仿宋" w:cs="仿宋"/>
                <w:sz w:val="24"/>
                <w:szCs w:val="24"/>
                <w:lang w:val="en-US" w:eastAsia="zh-CN"/>
              </w:rPr>
              <w:t>3</w:t>
            </w:r>
            <w:r>
              <w:rPr>
                <w:rFonts w:hint="eastAsia" w:ascii="仿宋" w:hAnsi="仿宋" w:eastAsia="仿宋" w:cs="仿宋"/>
                <w:sz w:val="24"/>
                <w:szCs w:val="24"/>
                <w:lang w:val="pt-BR"/>
              </w:rPr>
              <w:t>分。（提供合同复印件</w:t>
            </w:r>
            <w:r>
              <w:rPr>
                <w:rFonts w:hint="eastAsia" w:ascii="仿宋" w:hAnsi="仿宋" w:eastAsia="仿宋" w:cs="仿宋"/>
                <w:sz w:val="24"/>
                <w:szCs w:val="24"/>
              </w:rPr>
              <w:t>等证明材料</w:t>
            </w:r>
            <w:r>
              <w:rPr>
                <w:rFonts w:hint="eastAsia" w:ascii="仿宋" w:hAnsi="仿宋" w:eastAsia="仿宋" w:cs="仿宋"/>
                <w:sz w:val="24"/>
                <w:szCs w:val="24"/>
                <w:lang w:val="pt-BR"/>
              </w:rPr>
              <w:t>）</w:t>
            </w:r>
          </w:p>
        </w:tc>
        <w:tc>
          <w:tcPr>
            <w:tcW w:w="468"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634" w:type="pct"/>
            <w:vMerge w:val="restar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企业资质认证及人员资质</w:t>
            </w:r>
          </w:p>
        </w:tc>
        <w:tc>
          <w:tcPr>
            <w:tcW w:w="3897" w:type="pc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所投产品软件成熟度：具有心理咨询热线服务平台系统软件著作权的得2分、具有呼叫中心中间件或者语音平台系统软件著作权的得1分、具有客户服服中心系统软件著作权的得1分、具有基于心理援助热线的AI情绪识别分析系统软件著作权的得2分</w:t>
            </w:r>
          </w:p>
        </w:tc>
        <w:tc>
          <w:tcPr>
            <w:tcW w:w="468" w:type="pct"/>
            <w:tcBorders>
              <w:top w:val="single" w:color="auto" w:sz="4" w:space="0"/>
              <w:left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34" w:type="pct"/>
            <w:vMerge w:val="continue"/>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rPr>
            </w:pPr>
          </w:p>
        </w:tc>
        <w:tc>
          <w:tcPr>
            <w:tcW w:w="3897" w:type="pc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pt-BR"/>
              </w:rPr>
              <w:t>所投产品配置、质量技术水平、技术指标等综合性能评价</w:t>
            </w:r>
            <w:r>
              <w:rPr>
                <w:rFonts w:hint="eastAsia" w:ascii="仿宋" w:hAnsi="仿宋" w:eastAsia="仿宋" w:cs="仿宋"/>
                <w:sz w:val="24"/>
                <w:szCs w:val="24"/>
              </w:rPr>
              <w:t>进行打分</w:t>
            </w:r>
            <w:r>
              <w:rPr>
                <w:rFonts w:hint="eastAsia" w:ascii="仿宋" w:hAnsi="仿宋" w:eastAsia="仿宋" w:cs="仿宋"/>
                <w:sz w:val="24"/>
                <w:szCs w:val="24"/>
                <w:lang w:val="pt-BR"/>
              </w:rPr>
              <w:t>（0-6分）</w:t>
            </w:r>
          </w:p>
        </w:tc>
        <w:tc>
          <w:tcPr>
            <w:tcW w:w="468"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34" w:type="pct"/>
            <w:tcBorders>
              <w:top w:val="single" w:color="auto" w:sz="4" w:space="0"/>
              <w:left w:val="single" w:color="auto" w:sz="4" w:space="0"/>
              <w:right w:val="single" w:color="auto" w:sz="4" w:space="0"/>
            </w:tcBorders>
            <w:shd w:val="clear" w:color="auto" w:fill="auto"/>
            <w:noWrap/>
            <w:vAlign w:val="center"/>
          </w:tcPr>
          <w:p>
            <w:pPr>
              <w:spacing w:line="42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 xml:space="preserve">实施方案 </w:t>
            </w:r>
          </w:p>
        </w:tc>
        <w:tc>
          <w:tcPr>
            <w:tcW w:w="389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hint="eastAsia" w:ascii="仿宋" w:hAnsi="仿宋" w:eastAsia="仿宋" w:cs="仿宋"/>
                <w:bCs/>
                <w:kern w:val="0"/>
                <w:sz w:val="24"/>
                <w:szCs w:val="24"/>
                <w:lang w:val="en-US" w:eastAsia="zh-CN" w:bidi="ar-SA"/>
              </w:rPr>
            </w:pPr>
            <w:r>
              <w:rPr>
                <w:rFonts w:hint="eastAsia" w:ascii="仿宋" w:hAnsi="仿宋" w:eastAsia="仿宋" w:cs="仿宋"/>
                <w:sz w:val="24"/>
                <w:szCs w:val="24"/>
                <w:lang w:val="pt-BR"/>
              </w:rPr>
              <w:t>项目实施方案：根据投标人项目组织实施方案的科学性、合理性、规范性和可操作性，包括安装调试、系统集成、试运行、测试、系统培训、验收等内容，以及组织机构、工作时间进度表、工作程序和步骤、管理和协调方法等，综合评价（0-</w:t>
            </w:r>
            <w:r>
              <w:rPr>
                <w:rFonts w:hint="eastAsia" w:ascii="仿宋" w:hAnsi="仿宋" w:eastAsia="仿宋" w:cs="仿宋"/>
                <w:sz w:val="24"/>
                <w:szCs w:val="24"/>
                <w:lang w:val="en-US" w:eastAsia="zh-CN"/>
              </w:rPr>
              <w:t>10</w:t>
            </w:r>
            <w:r>
              <w:rPr>
                <w:rFonts w:hint="eastAsia" w:ascii="仿宋" w:hAnsi="仿宋" w:eastAsia="仿宋" w:cs="仿宋"/>
                <w:sz w:val="24"/>
                <w:szCs w:val="24"/>
                <w:lang w:val="pt-BR"/>
              </w:rPr>
              <w:t>分）。</w:t>
            </w: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34" w:type="pct"/>
            <w:tcBorders>
              <w:top w:val="single" w:color="auto" w:sz="4" w:space="0"/>
              <w:left w:val="single" w:color="auto" w:sz="4" w:space="0"/>
              <w:right w:val="single" w:color="auto" w:sz="4" w:space="0"/>
            </w:tcBorders>
            <w:shd w:val="clear" w:color="auto" w:fill="auto"/>
            <w:noWrap/>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售后服务情况</w:t>
            </w:r>
          </w:p>
        </w:tc>
        <w:tc>
          <w:tcPr>
            <w:tcW w:w="389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hint="eastAsia" w:ascii="仿宋" w:hAnsi="仿宋" w:eastAsia="仿宋" w:cs="仿宋"/>
                <w:sz w:val="24"/>
                <w:szCs w:val="24"/>
                <w:lang w:val="pt-BR"/>
              </w:rPr>
            </w:pPr>
            <w:r>
              <w:rPr>
                <w:rFonts w:hint="eastAsia" w:ascii="仿宋" w:hAnsi="仿宋" w:eastAsia="仿宋" w:cs="仿宋"/>
                <w:sz w:val="24"/>
                <w:szCs w:val="24"/>
              </w:rPr>
              <w:t>根据投标人提供的售后服务方案、服务方式、软件升级、客户化修改及售后巡检服务、现场响应等方面进行打分，0-</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34" w:type="pct"/>
            <w:tcBorders>
              <w:top w:val="single" w:color="auto" w:sz="4" w:space="0"/>
              <w:left w:val="single" w:color="auto" w:sz="4" w:space="0"/>
              <w:right w:val="single" w:color="auto" w:sz="4" w:space="0"/>
            </w:tcBorders>
            <w:shd w:val="clear" w:color="auto" w:fill="auto"/>
            <w:noWrap/>
            <w:vAlign w:val="center"/>
          </w:tcPr>
          <w:p>
            <w:pPr>
              <w:spacing w:line="42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pt-BR"/>
              </w:rPr>
              <w:t>优惠</w:t>
            </w:r>
            <w:r>
              <w:rPr>
                <w:rFonts w:hint="eastAsia" w:ascii="仿宋" w:hAnsi="仿宋" w:eastAsia="仿宋" w:cs="仿宋"/>
                <w:sz w:val="24"/>
                <w:szCs w:val="24"/>
                <w:lang w:val="en-US" w:eastAsia="zh-CN"/>
              </w:rPr>
              <w:t>条件</w:t>
            </w:r>
          </w:p>
        </w:tc>
        <w:tc>
          <w:tcPr>
            <w:tcW w:w="389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hint="eastAsia" w:ascii="仿宋" w:hAnsi="仿宋" w:eastAsia="仿宋" w:cs="仿宋"/>
                <w:sz w:val="24"/>
                <w:szCs w:val="24"/>
              </w:rPr>
            </w:pPr>
            <w:r>
              <w:rPr>
                <w:rFonts w:hint="eastAsia" w:ascii="仿宋" w:hAnsi="仿宋" w:eastAsia="仿宋" w:cs="仿宋"/>
                <w:sz w:val="24"/>
                <w:szCs w:val="24"/>
              </w:rPr>
              <w:t>对投标文件中是否有超出招标文件的实质性条件进行评价（0-3分），没有实质性优惠条件得0分</w:t>
            </w: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34"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系统</w:t>
            </w:r>
          </w:p>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演示</w:t>
            </w:r>
          </w:p>
        </w:tc>
        <w:tc>
          <w:tcPr>
            <w:tcW w:w="389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24"/>
                <w:szCs w:val="24"/>
              </w:rPr>
            </w:pPr>
            <w:r>
              <w:rPr>
                <w:rFonts w:hint="eastAsia" w:ascii="仿宋" w:hAnsi="仿宋" w:eastAsia="仿宋" w:cs="仿宋"/>
                <w:sz w:val="24"/>
                <w:szCs w:val="24"/>
              </w:rPr>
              <w:t>投标人按功能表项目逐一进行演示，</w:t>
            </w:r>
            <w:r>
              <w:rPr>
                <w:rFonts w:hint="eastAsia" w:ascii="仿宋" w:hAnsi="仿宋" w:eastAsia="仿宋" w:cs="仿宋"/>
                <w:sz w:val="24"/>
                <w:szCs w:val="24"/>
                <w:lang w:val="en-US" w:eastAsia="zh-CN"/>
              </w:rPr>
              <w:t>投标人</w:t>
            </w:r>
            <w:r>
              <w:rPr>
                <w:rFonts w:hint="eastAsia" w:ascii="仿宋" w:hAnsi="仿宋" w:eastAsia="仿宋" w:cs="仿宋"/>
                <w:sz w:val="24"/>
                <w:szCs w:val="24"/>
              </w:rPr>
              <w:t>自带电脑，自行搭建原型模拟演示所需环境（包括所需的硬件和软件），演示时间不超过</w:t>
            </w:r>
            <w:r>
              <w:rPr>
                <w:rFonts w:hint="eastAsia" w:ascii="仿宋" w:hAnsi="仿宋" w:eastAsia="仿宋" w:cs="仿宋"/>
                <w:sz w:val="24"/>
                <w:szCs w:val="24"/>
                <w:lang w:val="en-US" w:eastAsia="zh-CN"/>
              </w:rPr>
              <w:t>10</w:t>
            </w:r>
            <w:r>
              <w:rPr>
                <w:rFonts w:hint="eastAsia" w:ascii="仿宋" w:hAnsi="仿宋" w:eastAsia="仿宋" w:cs="仿宋"/>
                <w:sz w:val="24"/>
                <w:szCs w:val="24"/>
              </w:rPr>
              <w:t>分钟。只有PPT演示此项不得分</w:t>
            </w:r>
            <w:r>
              <w:rPr>
                <w:rFonts w:hint="eastAsia" w:ascii="仿宋" w:hAnsi="仿宋" w:eastAsia="仿宋" w:cs="仿宋"/>
                <w:sz w:val="24"/>
                <w:szCs w:val="24"/>
                <w:lang w:eastAsia="zh-CN"/>
              </w:rPr>
              <w:t>，</w:t>
            </w:r>
            <w:r>
              <w:rPr>
                <w:rFonts w:hint="eastAsia" w:ascii="仿宋" w:hAnsi="仿宋" w:eastAsia="仿宋" w:cs="仿宋"/>
                <w:sz w:val="24"/>
                <w:szCs w:val="24"/>
              </w:rPr>
              <w:t>评标委员会根据演示效果进行评分（最高</w:t>
            </w:r>
            <w:r>
              <w:rPr>
                <w:rFonts w:hint="eastAsia" w:ascii="仿宋" w:hAnsi="仿宋" w:eastAsia="仿宋" w:cs="仿宋"/>
                <w:sz w:val="24"/>
                <w:szCs w:val="24"/>
                <w:lang w:val="en-US" w:eastAsia="zh-CN"/>
              </w:rPr>
              <w:t>5</w:t>
            </w:r>
            <w:r>
              <w:rPr>
                <w:rFonts w:hint="eastAsia" w:ascii="仿宋" w:hAnsi="仿宋" w:eastAsia="仿宋" w:cs="仿宋"/>
                <w:sz w:val="24"/>
                <w:szCs w:val="24"/>
              </w:rPr>
              <w:t>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24"/>
                <w:szCs w:val="24"/>
              </w:rPr>
            </w:pPr>
            <w:r>
              <w:rPr>
                <w:rFonts w:hint="eastAsia" w:ascii="仿宋" w:hAnsi="仿宋" w:eastAsia="仿宋" w:cs="仿宋"/>
                <w:sz w:val="24"/>
                <w:szCs w:val="24"/>
              </w:rPr>
              <w:t>演示主要内容（电脑管理端）： 来电弹屏、老客户录音查询、老客户历史信息查询、 知识库查询、客户咨询问题流转、抑郁症筛查量表、焦虑症筛查量表、抑郁及自杀危险性评估表、根据《国家卫生健康委员会办公厅关于印发12356心理援助热线基本数据目录参考指引（试行）的通知》（国卫办医政函【2025】164号）要求的相关报表数据</w:t>
            </w:r>
            <w:r>
              <w:rPr>
                <w:rFonts w:hint="eastAsia" w:ascii="仿宋" w:hAnsi="仿宋" w:eastAsia="仿宋" w:cs="仿宋"/>
                <w:sz w:val="24"/>
                <w:szCs w:val="24"/>
                <w:lang w:eastAsia="zh-CN"/>
              </w:rPr>
              <w:t>，</w:t>
            </w:r>
            <w:r>
              <w:rPr>
                <w:rFonts w:hint="eastAsia" w:ascii="仿宋" w:hAnsi="仿宋" w:eastAsia="仿宋" w:cs="仿宋"/>
                <w:sz w:val="24"/>
                <w:szCs w:val="24"/>
              </w:rPr>
              <w:t>综合评价（0-5分）。</w:t>
            </w:r>
          </w:p>
        </w:tc>
        <w:tc>
          <w:tcPr>
            <w:tcW w:w="468" w:type="pct"/>
            <w:tcBorders>
              <w:top w:val="single" w:color="auto" w:sz="4" w:space="0"/>
              <w:left w:val="single" w:color="auto" w:sz="4" w:space="0"/>
              <w:bottom w:val="single" w:color="auto" w:sz="4" w:space="0"/>
              <w:right w:val="single" w:color="auto" w:sz="4" w:space="0"/>
            </w:tcBorders>
            <w:noWrap/>
            <w:vAlign w:val="center"/>
          </w:tcPr>
          <w:p>
            <w:pPr>
              <w:spacing w:line="42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r>
    </w:tbl>
    <w:p>
      <w:pPr>
        <w:pStyle w:val="8"/>
        <w:snapToGrid w:val="0"/>
        <w:spacing w:line="240" w:lineRule="auto"/>
        <w:ind w:right="-498" w:rightChars="-237"/>
        <w:rPr>
          <w:rFonts w:hint="eastAsia" w:ascii="仿宋" w:hAnsi="仿宋" w:eastAsia="仿宋" w:cs="仿宋"/>
          <w:b/>
          <w:sz w:val="24"/>
          <w:szCs w:val="24"/>
          <w:lang w:eastAsia="zh-CN"/>
        </w:rPr>
      </w:pPr>
      <w:r>
        <w:rPr>
          <w:rFonts w:hint="eastAsia" w:ascii="仿宋" w:hAnsi="仿宋" w:eastAsia="仿宋" w:cs="仿宋"/>
          <w:b/>
          <w:sz w:val="24"/>
          <w:szCs w:val="24"/>
          <w:lang w:eastAsia="zh-CN"/>
        </w:rPr>
        <w:t>注：投标人</w:t>
      </w:r>
      <w:r>
        <w:rPr>
          <w:rFonts w:hint="eastAsia" w:ascii="仿宋" w:hAnsi="仿宋" w:eastAsia="仿宋" w:cs="仿宋"/>
          <w:b/>
          <w:sz w:val="24"/>
          <w:szCs w:val="24"/>
          <w:lang w:val="en-US" w:eastAsia="zh-CN"/>
        </w:rPr>
        <w:t>资质证书需提供证明材料复印件并加盖公章，</w:t>
      </w:r>
      <w:r>
        <w:rPr>
          <w:rFonts w:hint="eastAsia" w:ascii="仿宋" w:hAnsi="仿宋" w:eastAsia="仿宋" w:cs="仿宋"/>
          <w:b/>
          <w:sz w:val="24"/>
          <w:szCs w:val="24"/>
          <w:lang w:eastAsia="zh-CN"/>
        </w:rPr>
        <w:t>项目团队工程师需提供相关工程师证书复印件及社保缴纳证明</w:t>
      </w:r>
    </w:p>
    <w:p>
      <w:pPr>
        <w:pStyle w:val="8"/>
        <w:snapToGrid w:val="0"/>
        <w:spacing w:line="240" w:lineRule="auto"/>
        <w:rPr>
          <w:rFonts w:hint="eastAsia" w:ascii="仿宋" w:hAnsi="仿宋" w:eastAsia="仿宋" w:cs="仿宋"/>
          <w:sz w:val="24"/>
          <w:szCs w:val="24"/>
        </w:rPr>
      </w:pPr>
      <w:r>
        <w:rPr>
          <w:rFonts w:hint="eastAsia" w:ascii="仿宋" w:hAnsi="仿宋" w:eastAsia="仿宋" w:cs="仿宋"/>
          <w:b/>
          <w:sz w:val="24"/>
          <w:szCs w:val="24"/>
        </w:rPr>
        <w:t>▲ 减分：投标人的信誉情况：</w:t>
      </w:r>
      <w:r>
        <w:rPr>
          <w:rFonts w:hint="eastAsia" w:ascii="仿宋" w:hAnsi="仿宋" w:eastAsia="仿宋" w:cs="仿宋"/>
          <w:kern w:val="0"/>
          <w:sz w:val="24"/>
          <w:szCs w:val="24"/>
        </w:rPr>
        <w:t>政府采购领域中</w:t>
      </w:r>
      <w:r>
        <w:rPr>
          <w:rFonts w:hint="eastAsia" w:ascii="仿宋" w:hAnsi="仿宋" w:eastAsia="仿宋" w:cs="仿宋"/>
          <w:sz w:val="24"/>
          <w:szCs w:val="24"/>
        </w:rPr>
        <w:t>投标人在项目招标、投标和合同履约期间是否存在不良行为记录。</w:t>
      </w:r>
    </w:p>
    <w:p>
      <w:pPr>
        <w:spacing w:line="240" w:lineRule="auto"/>
        <w:rPr>
          <w:rFonts w:hint="eastAsia" w:ascii="仿宋" w:hAnsi="仿宋" w:eastAsia="仿宋" w:cs="仿宋"/>
          <w:sz w:val="24"/>
          <w:szCs w:val="24"/>
        </w:rPr>
      </w:pPr>
      <w:r>
        <w:rPr>
          <w:rFonts w:hint="eastAsia" w:ascii="仿宋" w:hAnsi="仿宋" w:eastAsia="仿宋" w:cs="仿宋"/>
          <w:sz w:val="24"/>
          <w:szCs w:val="24"/>
        </w:rPr>
        <w:t>●投标人参加本次政府采购活动前三年内在浙江省范围内政府采购领域中受到不良行为记录处罚的每次扣1分。</w:t>
      </w:r>
    </w:p>
    <w:p>
      <w:pPr>
        <w:spacing w:line="240" w:lineRule="auto"/>
        <w:rPr>
          <w:rFonts w:hint="eastAsia" w:ascii="仿宋" w:hAnsi="仿宋" w:eastAsia="仿宋" w:cs="仿宋"/>
          <w:b/>
          <w:bCs/>
          <w:iCs/>
          <w:sz w:val="24"/>
          <w:szCs w:val="24"/>
        </w:rPr>
      </w:pPr>
      <w:r>
        <w:rPr>
          <w:rFonts w:hint="eastAsia" w:ascii="仿宋" w:hAnsi="仿宋" w:eastAsia="仿宋" w:cs="仿宋"/>
          <w:b/>
          <w:bCs/>
          <w:iCs/>
          <w:sz w:val="24"/>
          <w:szCs w:val="24"/>
        </w:rPr>
        <w:t>2.2价格分30分</w:t>
      </w:r>
    </w:p>
    <w:p>
      <w:pPr>
        <w:spacing w:line="240" w:lineRule="auto"/>
        <w:rPr>
          <w:rFonts w:hint="eastAsia" w:ascii="仿宋" w:hAnsi="仿宋" w:eastAsia="仿宋" w:cs="仿宋"/>
          <w:bCs/>
          <w:iCs/>
          <w:sz w:val="24"/>
          <w:szCs w:val="24"/>
        </w:rPr>
      </w:pPr>
      <w:r>
        <w:rPr>
          <w:rFonts w:hint="eastAsia" w:ascii="仿宋" w:hAnsi="仿宋" w:eastAsia="仿宋" w:cs="仿宋"/>
          <w:bCs/>
          <w:iCs/>
          <w:sz w:val="24"/>
          <w:szCs w:val="24"/>
        </w:rPr>
        <w:t>2.2.1评标基准价：即满足招标文件要求且投标价格最低的投标报价为评标基准价，其价格分为满分。</w:t>
      </w:r>
    </w:p>
    <w:p>
      <w:pPr>
        <w:spacing w:line="240" w:lineRule="auto"/>
        <w:rPr>
          <w:rFonts w:hint="eastAsia" w:ascii="仿宋" w:hAnsi="仿宋" w:eastAsia="仿宋" w:cs="仿宋"/>
          <w:bCs/>
          <w:iCs/>
          <w:sz w:val="24"/>
          <w:szCs w:val="24"/>
        </w:rPr>
      </w:pPr>
      <w:r>
        <w:rPr>
          <w:rFonts w:hint="eastAsia" w:ascii="仿宋" w:hAnsi="仿宋" w:eastAsia="仿宋" w:cs="仿宋"/>
          <w:bCs/>
          <w:iCs/>
          <w:sz w:val="24"/>
          <w:szCs w:val="24"/>
        </w:rPr>
        <w:t>2.2.2其他投标人的价格分统一按照下列公式计算：</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hint="eastAsia" w:ascii="仿宋" w:hAnsi="仿宋" w:eastAsia="仿宋" w:cs="仿宋"/>
          <w:bCs/>
          <w:iCs/>
          <w:sz w:val="24"/>
          <w:szCs w:val="24"/>
        </w:rPr>
      </w:pPr>
      <w:r>
        <w:rPr>
          <w:rFonts w:hint="eastAsia" w:ascii="仿宋" w:hAnsi="仿宋" w:eastAsia="仿宋" w:cs="仿宋"/>
          <w:bCs/>
          <w:iCs/>
          <w:sz w:val="24"/>
          <w:szCs w:val="24"/>
        </w:rPr>
        <w:t>投标报价得分=(评标基准价／投标报价)×价格权值×100</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hint="eastAsia" w:ascii="仿宋" w:hAnsi="仿宋" w:eastAsia="仿宋" w:cs="仿宋"/>
          <w:sz w:val="24"/>
          <w:szCs w:val="24"/>
          <w:lang w:val="en-US" w:eastAsia="zh-CN"/>
        </w:rPr>
      </w:pPr>
    </w:p>
    <w:sectPr>
      <w:footerReference r:id="rId6" w:type="first"/>
      <w:headerReference r:id="rId3" w:type="default"/>
      <w:footerReference r:id="rId4" w:type="default"/>
      <w:footerReference r:id="rId5" w:type="even"/>
      <w:pgSz w:w="11906" w:h="16838"/>
      <w:pgMar w:top="1440" w:right="1406" w:bottom="1246" w:left="1758" w:header="1021" w:footer="902"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宋体..璂..">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51</w:t>
                          </w:r>
                          <w:r>
                            <w:rPr>
                              <w:kern w:val="0"/>
                              <w:szCs w:val="21"/>
                            </w:rPr>
                            <w:fldChar w:fldCharType="end"/>
                          </w:r>
                          <w:r>
                            <w:rPr>
                              <w:kern w:val="0"/>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51</w:t>
                    </w:r>
                    <w:r>
                      <w:rPr>
                        <w:kern w:val="0"/>
                        <w:szCs w:val="21"/>
                      </w:rPr>
                      <w:fldChar w:fldCharType="end"/>
                    </w:r>
                    <w:r>
                      <w:rPr>
                        <w:kern w:val="0"/>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FFFFF88"/>
    <w:lvl w:ilvl="0" w:tentative="0">
      <w:start w:val="1"/>
      <w:numFmt w:val="decimal"/>
      <w:pStyle w:val="3"/>
      <w:lvlText w:val="%1."/>
      <w:lvlJc w:val="left"/>
      <w:pPr>
        <w:tabs>
          <w:tab w:val="left" w:pos="360"/>
        </w:tabs>
        <w:ind w:left="360" w:hanging="360" w:hangingChars="200"/>
      </w:pPr>
    </w:lvl>
  </w:abstractNum>
  <w:abstractNum w:abstractNumId="1">
    <w:nsid w:val="72696FE3"/>
    <w:multiLevelType w:val="multilevel"/>
    <w:tmpl w:val="72696FE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iZjIxYTNjODEwZTM4YjUzMzRmMGMxMDk5OWI3NjcifQ=="/>
  </w:docVars>
  <w:rsids>
    <w:rsidRoot w:val="33992938"/>
    <w:rsid w:val="007030E1"/>
    <w:rsid w:val="00793B28"/>
    <w:rsid w:val="008932C0"/>
    <w:rsid w:val="008C6C96"/>
    <w:rsid w:val="00BF3C98"/>
    <w:rsid w:val="040556DD"/>
    <w:rsid w:val="042E6715"/>
    <w:rsid w:val="04846602"/>
    <w:rsid w:val="0498252B"/>
    <w:rsid w:val="0547774F"/>
    <w:rsid w:val="05B036C2"/>
    <w:rsid w:val="05F872A7"/>
    <w:rsid w:val="064007BA"/>
    <w:rsid w:val="072E0AA7"/>
    <w:rsid w:val="09D771D4"/>
    <w:rsid w:val="09F520CA"/>
    <w:rsid w:val="0A397E8E"/>
    <w:rsid w:val="0AAB0D8C"/>
    <w:rsid w:val="0B17148C"/>
    <w:rsid w:val="0B2E4D35"/>
    <w:rsid w:val="0BA01E88"/>
    <w:rsid w:val="0CA35A26"/>
    <w:rsid w:val="0CCA1272"/>
    <w:rsid w:val="0CE9794A"/>
    <w:rsid w:val="0CFD20E2"/>
    <w:rsid w:val="0D676AC1"/>
    <w:rsid w:val="0D996F38"/>
    <w:rsid w:val="0DC74E88"/>
    <w:rsid w:val="0FC84CC9"/>
    <w:rsid w:val="0FE144E8"/>
    <w:rsid w:val="0FE23109"/>
    <w:rsid w:val="0FF74205"/>
    <w:rsid w:val="0FFC1742"/>
    <w:rsid w:val="10513F15"/>
    <w:rsid w:val="10647F30"/>
    <w:rsid w:val="110C1E59"/>
    <w:rsid w:val="120D7F15"/>
    <w:rsid w:val="127E53C9"/>
    <w:rsid w:val="12A06CFD"/>
    <w:rsid w:val="12A25DCE"/>
    <w:rsid w:val="12A87B55"/>
    <w:rsid w:val="12AD4EB1"/>
    <w:rsid w:val="135D053C"/>
    <w:rsid w:val="136917E4"/>
    <w:rsid w:val="1380268A"/>
    <w:rsid w:val="13930956"/>
    <w:rsid w:val="13946135"/>
    <w:rsid w:val="14011A1D"/>
    <w:rsid w:val="1437543F"/>
    <w:rsid w:val="1518719A"/>
    <w:rsid w:val="152D05F0"/>
    <w:rsid w:val="15D54F0F"/>
    <w:rsid w:val="16020F35"/>
    <w:rsid w:val="18510AEB"/>
    <w:rsid w:val="19593CDE"/>
    <w:rsid w:val="1966188A"/>
    <w:rsid w:val="19CF7F69"/>
    <w:rsid w:val="1A6B25FD"/>
    <w:rsid w:val="1AA01C45"/>
    <w:rsid w:val="1ADE13F1"/>
    <w:rsid w:val="1AEC17C4"/>
    <w:rsid w:val="1B06750C"/>
    <w:rsid w:val="1BBC26CD"/>
    <w:rsid w:val="1C085913"/>
    <w:rsid w:val="1E6F4494"/>
    <w:rsid w:val="1E941C0E"/>
    <w:rsid w:val="1EC2624D"/>
    <w:rsid w:val="1F503858"/>
    <w:rsid w:val="1F8D56DF"/>
    <w:rsid w:val="200421CD"/>
    <w:rsid w:val="2059661D"/>
    <w:rsid w:val="212B00D9"/>
    <w:rsid w:val="22BA4583"/>
    <w:rsid w:val="23775D3E"/>
    <w:rsid w:val="2629137B"/>
    <w:rsid w:val="26963D4E"/>
    <w:rsid w:val="26F62F37"/>
    <w:rsid w:val="27DD4B45"/>
    <w:rsid w:val="29512959"/>
    <w:rsid w:val="29540328"/>
    <w:rsid w:val="295C7C9C"/>
    <w:rsid w:val="2B693544"/>
    <w:rsid w:val="2B982468"/>
    <w:rsid w:val="2C1C51D1"/>
    <w:rsid w:val="2CFA4E04"/>
    <w:rsid w:val="2DD81577"/>
    <w:rsid w:val="2DF34AD5"/>
    <w:rsid w:val="2E1A01B5"/>
    <w:rsid w:val="2EA66FF1"/>
    <w:rsid w:val="2F684D0E"/>
    <w:rsid w:val="2F720407"/>
    <w:rsid w:val="2FC33FD8"/>
    <w:rsid w:val="30274161"/>
    <w:rsid w:val="306A68CF"/>
    <w:rsid w:val="30B05F05"/>
    <w:rsid w:val="30CE282F"/>
    <w:rsid w:val="30D75B88"/>
    <w:rsid w:val="334E6972"/>
    <w:rsid w:val="337174FE"/>
    <w:rsid w:val="338312F5"/>
    <w:rsid w:val="33992938"/>
    <w:rsid w:val="33B07C43"/>
    <w:rsid w:val="33C1703F"/>
    <w:rsid w:val="33E04D53"/>
    <w:rsid w:val="345F3DC1"/>
    <w:rsid w:val="34D54508"/>
    <w:rsid w:val="354B36B5"/>
    <w:rsid w:val="37C161CA"/>
    <w:rsid w:val="3A950A1A"/>
    <w:rsid w:val="3ABB44EC"/>
    <w:rsid w:val="3B800BCA"/>
    <w:rsid w:val="3DB01C3A"/>
    <w:rsid w:val="3DCD6A49"/>
    <w:rsid w:val="3F1D5506"/>
    <w:rsid w:val="3FE44F63"/>
    <w:rsid w:val="40752AD9"/>
    <w:rsid w:val="41276FC5"/>
    <w:rsid w:val="435C1154"/>
    <w:rsid w:val="441A1ED8"/>
    <w:rsid w:val="444E5D09"/>
    <w:rsid w:val="452A6588"/>
    <w:rsid w:val="46C15085"/>
    <w:rsid w:val="46D22C21"/>
    <w:rsid w:val="47BD37A4"/>
    <w:rsid w:val="47CE257C"/>
    <w:rsid w:val="48FC0944"/>
    <w:rsid w:val="4977185E"/>
    <w:rsid w:val="49D66772"/>
    <w:rsid w:val="4AE44CD1"/>
    <w:rsid w:val="4AFA3B96"/>
    <w:rsid w:val="4AFD1A7D"/>
    <w:rsid w:val="4BD23616"/>
    <w:rsid w:val="4C5C4F93"/>
    <w:rsid w:val="4D0A66EF"/>
    <w:rsid w:val="4DB741D6"/>
    <w:rsid w:val="4E524648"/>
    <w:rsid w:val="4F1F09CE"/>
    <w:rsid w:val="4FC25CA4"/>
    <w:rsid w:val="502C7CDA"/>
    <w:rsid w:val="51361FFF"/>
    <w:rsid w:val="51F15D90"/>
    <w:rsid w:val="52F537F4"/>
    <w:rsid w:val="53B97094"/>
    <w:rsid w:val="54294CA2"/>
    <w:rsid w:val="544C2E32"/>
    <w:rsid w:val="551553E4"/>
    <w:rsid w:val="55200136"/>
    <w:rsid w:val="56521689"/>
    <w:rsid w:val="57596A47"/>
    <w:rsid w:val="57ED21D2"/>
    <w:rsid w:val="581A7F84"/>
    <w:rsid w:val="59625EB2"/>
    <w:rsid w:val="5BB17A19"/>
    <w:rsid w:val="5BD018F9"/>
    <w:rsid w:val="5BD9522C"/>
    <w:rsid w:val="5BF37489"/>
    <w:rsid w:val="5CC3329F"/>
    <w:rsid w:val="5D012AC3"/>
    <w:rsid w:val="5D7967F9"/>
    <w:rsid w:val="5D810AA5"/>
    <w:rsid w:val="5E5D7859"/>
    <w:rsid w:val="5F3E23E4"/>
    <w:rsid w:val="5FFF26B0"/>
    <w:rsid w:val="603A7652"/>
    <w:rsid w:val="61742D02"/>
    <w:rsid w:val="62012F2D"/>
    <w:rsid w:val="62B54A39"/>
    <w:rsid w:val="6438686B"/>
    <w:rsid w:val="64836EB1"/>
    <w:rsid w:val="64EE686A"/>
    <w:rsid w:val="650D376B"/>
    <w:rsid w:val="65B732B6"/>
    <w:rsid w:val="65C719BE"/>
    <w:rsid w:val="65D75707"/>
    <w:rsid w:val="663E0A2F"/>
    <w:rsid w:val="674C7A59"/>
    <w:rsid w:val="675C5930"/>
    <w:rsid w:val="67F22030"/>
    <w:rsid w:val="68330E1D"/>
    <w:rsid w:val="696E6382"/>
    <w:rsid w:val="69A26EC4"/>
    <w:rsid w:val="69BE387E"/>
    <w:rsid w:val="69C17B10"/>
    <w:rsid w:val="6A1F4A61"/>
    <w:rsid w:val="6AE07061"/>
    <w:rsid w:val="6AF57635"/>
    <w:rsid w:val="6C7D4B2E"/>
    <w:rsid w:val="6D8416F8"/>
    <w:rsid w:val="6DCF0F2F"/>
    <w:rsid w:val="6DCF13B9"/>
    <w:rsid w:val="6FA36ED6"/>
    <w:rsid w:val="6FB32F14"/>
    <w:rsid w:val="6FD11419"/>
    <w:rsid w:val="71A91673"/>
    <w:rsid w:val="725C04A6"/>
    <w:rsid w:val="72807D58"/>
    <w:rsid w:val="735F1FBD"/>
    <w:rsid w:val="73B974DB"/>
    <w:rsid w:val="749D4236"/>
    <w:rsid w:val="74B5638D"/>
    <w:rsid w:val="75A0768A"/>
    <w:rsid w:val="76447716"/>
    <w:rsid w:val="769374BC"/>
    <w:rsid w:val="77630112"/>
    <w:rsid w:val="77E23A3D"/>
    <w:rsid w:val="77EF4B32"/>
    <w:rsid w:val="780D320A"/>
    <w:rsid w:val="781B5F00"/>
    <w:rsid w:val="78BF13FC"/>
    <w:rsid w:val="78F85EB2"/>
    <w:rsid w:val="79827C8F"/>
    <w:rsid w:val="79FF3026"/>
    <w:rsid w:val="7AA02113"/>
    <w:rsid w:val="7AAF20CC"/>
    <w:rsid w:val="7BBE00A0"/>
    <w:rsid w:val="7BE6624C"/>
    <w:rsid w:val="7EE10298"/>
    <w:rsid w:val="7F470EB6"/>
    <w:rsid w:val="7FCB4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qFormat/>
    <w:uiPriority w:val="0"/>
    <w:pPr>
      <w:keepNext/>
      <w:keepLines/>
      <w:numPr>
        <w:ilvl w:val="0"/>
        <w:numId w:val="1"/>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pPr>
      <w:spacing w:line="360" w:lineRule="auto"/>
    </w:pPr>
    <w:rPr>
      <w:rFonts w:eastAsia="仿宋_GB2312"/>
      <w:sz w:val="28"/>
    </w:rPr>
  </w:style>
  <w:style w:type="paragraph" w:styleId="6">
    <w:name w:val="Body Text Indent"/>
    <w:basedOn w:val="1"/>
    <w:qFormat/>
    <w:uiPriority w:val="0"/>
    <w:pPr>
      <w:spacing w:after="120"/>
      <w:ind w:left="420" w:leftChars="200"/>
    </w:pPr>
  </w:style>
  <w:style w:type="paragraph" w:styleId="7">
    <w:name w:val="List 2"/>
    <w:basedOn w:val="1"/>
    <w:qFormat/>
    <w:uiPriority w:val="0"/>
    <w:pPr>
      <w:adjustRightInd/>
      <w:spacing w:line="360" w:lineRule="auto"/>
      <w:ind w:left="100" w:leftChars="200" w:hanging="200" w:hangingChars="200"/>
    </w:pPr>
    <w:rPr>
      <w:rFonts w:eastAsia="微软雅黑"/>
    </w:rPr>
  </w:style>
  <w:style w:type="paragraph" w:styleId="8">
    <w:name w:val="Plain Text"/>
    <w:basedOn w:val="1"/>
    <w:next w:val="1"/>
    <w:qFormat/>
    <w:uiPriority w:val="0"/>
    <w:rPr>
      <w:rFonts w:ascii="宋体" w:hAnsi="Courier New"/>
      <w:szCs w:val="20"/>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qFormat/>
    <w:uiPriority w:val="0"/>
    <w:pPr>
      <w:snapToGrid w:val="0"/>
      <w:jc w:val="left"/>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5"/>
    <w:qFormat/>
    <w:uiPriority w:val="0"/>
    <w:pPr>
      <w:spacing w:after="120" w:line="240" w:lineRule="auto"/>
      <w:ind w:firstLine="420" w:firstLineChars="100"/>
    </w:pPr>
    <w:rPr>
      <w:rFonts w:eastAsia="宋体"/>
      <w:sz w:val="21"/>
    </w:rPr>
  </w:style>
  <w:style w:type="paragraph" w:styleId="14">
    <w:name w:val="Body Text First Indent 2"/>
    <w:basedOn w:val="6"/>
    <w:qFormat/>
    <w:uiPriority w:val="0"/>
    <w:pPr>
      <w:ind w:firstLine="420" w:firstLineChars="200"/>
    </w:pPr>
  </w:style>
  <w:style w:type="table" w:styleId="16">
    <w:name w:val="Table Grid"/>
    <w:basedOn w:val="15"/>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0"/>
  </w:style>
  <w:style w:type="paragraph" w:customStyle="1" w:styleId="19">
    <w:name w:val="!正文(无缩)"/>
    <w:basedOn w:val="1"/>
    <w:qFormat/>
    <w:uiPriority w:val="0"/>
    <w:pPr>
      <w:spacing w:line="360" w:lineRule="auto"/>
    </w:pPr>
    <w:rPr>
      <w:rFonts w:ascii="Calibri" w:hAnsi="Calibri" w:eastAsia="华文中宋" w:cs="Times New Roman"/>
      <w:sz w:val="24"/>
      <w:szCs w:val="21"/>
    </w:rPr>
  </w:style>
  <w:style w:type="paragraph" w:customStyle="1" w:styleId="20">
    <w:name w:val="Default"/>
    <w:qFormat/>
    <w:uiPriority w:val="0"/>
    <w:pPr>
      <w:widowControl w:val="0"/>
      <w:autoSpaceDE w:val="0"/>
      <w:autoSpaceDN w:val="0"/>
      <w:adjustRightInd w:val="0"/>
    </w:pPr>
    <w:rPr>
      <w:rFonts w:ascii="宋体..璂.." w:hAnsi="Times New Roman" w:eastAsia="宋体..璂.." w:cs="宋体..璂.."/>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4994</Words>
  <Characters>5574</Characters>
  <Lines>0</Lines>
  <Paragraphs>0</Paragraphs>
  <TotalTime>3</TotalTime>
  <ScaleCrop>false</ScaleCrop>
  <LinksUpToDate>false</LinksUpToDate>
  <CharactersWithSpaces>5625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2023-03-14T01:04:00Z</dcterms:created>
  <dc:creator>周世剑</dc:creator>
  <cp:lastModifiedBy>Administrator</cp:lastModifiedBy>
  <dcterms:modified xsi:type="dcterms:W3CDTF">2025-10-31T08:07:42Z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644AD26CAC264CA99EEDF998F8BDF54A</vt:lpwstr>
  </property>
  <property fmtid="{D5CDD505-2E9C-101B-9397-08002B2CF9AE}" pid="4" name="KSOTemplateDocerSaveRecord">
    <vt:lpwstr>eyJoZGlkIjoiNmI5YWU2MWJlOGY3ZGFjNmQ0ODRjZGNmNjk4MGMzZTEiLCJ1c2VySWQiOiI1OTE2NjEyOTIifQ==</vt:lpwstr>
  </property>
</Properties>
</file>