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5181A">
      <w:pPr>
        <w:numPr>
          <w:ilvl w:val="0"/>
          <w:numId w:val="0"/>
        </w:numPr>
        <w:spacing w:line="312" w:lineRule="auto"/>
        <w:jc w:val="center"/>
        <w:outlineLvl w:val="0"/>
        <w:rPr>
          <w:rFonts w:ascii="仿宋" w:hAnsi="仿宋" w:eastAsia="仿宋" w:cs="Arial"/>
          <w:b/>
          <w:color w:val="auto"/>
          <w:sz w:val="48"/>
          <w:szCs w:val="48"/>
          <w:highlight w:val="none"/>
          <w:lang w:eastAsia="zh-CN"/>
        </w:rPr>
      </w:pPr>
      <w:r>
        <w:rPr>
          <w:rFonts w:ascii="仿宋" w:hAnsi="仿宋" w:eastAsia="仿宋" w:cs="Arial"/>
          <w:b/>
          <w:color w:val="auto"/>
          <w:sz w:val="48"/>
          <w:szCs w:val="48"/>
          <w:highlight w:val="none"/>
          <w:lang w:eastAsia="zh-CN"/>
        </w:rPr>
        <w:t>绍兴市第七人民医院智慧消防项目</w:t>
      </w:r>
    </w:p>
    <w:p w14:paraId="4C2466ED">
      <w:pPr>
        <w:numPr>
          <w:ilvl w:val="0"/>
          <w:numId w:val="0"/>
        </w:numPr>
        <w:spacing w:line="312" w:lineRule="auto"/>
        <w:jc w:val="center"/>
        <w:outlineLvl w:val="0"/>
        <w:rPr>
          <w:rFonts w:ascii="仿宋" w:hAnsi="仿宋" w:eastAsia="仿宋" w:cs="Arial"/>
          <w:b/>
          <w:color w:val="auto"/>
          <w:sz w:val="52"/>
          <w:szCs w:val="52"/>
          <w:highlight w:val="none"/>
          <w:lang w:eastAsia="zh-CN"/>
        </w:rPr>
      </w:pPr>
    </w:p>
    <w:p w14:paraId="6EBC48C2">
      <w:pPr>
        <w:numPr>
          <w:ilvl w:val="0"/>
          <w:numId w:val="0"/>
        </w:numPr>
        <w:spacing w:line="312" w:lineRule="auto"/>
        <w:jc w:val="center"/>
        <w:outlineLvl w:val="0"/>
        <w:rPr>
          <w:rFonts w:ascii="仿宋" w:hAnsi="仿宋" w:eastAsia="仿宋" w:cs="Arial"/>
          <w:b/>
          <w:color w:val="auto"/>
          <w:sz w:val="52"/>
          <w:szCs w:val="52"/>
          <w:highlight w:val="none"/>
        </w:rPr>
      </w:pPr>
    </w:p>
    <w:p w14:paraId="7D43B51F">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公</w:t>
      </w:r>
    </w:p>
    <w:p w14:paraId="07EC6686">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开</w:t>
      </w:r>
    </w:p>
    <w:p w14:paraId="5867BB03">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招</w:t>
      </w:r>
    </w:p>
    <w:p w14:paraId="74A1F5D6">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标</w:t>
      </w:r>
    </w:p>
    <w:p w14:paraId="624E1904">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文</w:t>
      </w:r>
    </w:p>
    <w:p w14:paraId="0705CB9F">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件</w:t>
      </w:r>
    </w:p>
    <w:p w14:paraId="76BBBBBB">
      <w:pPr>
        <w:numPr>
          <w:ilvl w:val="0"/>
          <w:numId w:val="0"/>
        </w:numPr>
        <w:spacing w:line="312" w:lineRule="auto"/>
        <w:jc w:val="center"/>
        <w:outlineLvl w:val="0"/>
        <w:rPr>
          <w:rFonts w:ascii="仿宋" w:hAnsi="仿宋" w:eastAsia="仿宋" w:cs="Arial"/>
          <w:b/>
          <w:color w:val="auto"/>
          <w:sz w:val="52"/>
          <w:szCs w:val="52"/>
          <w:highlight w:val="none"/>
        </w:rPr>
      </w:pPr>
    </w:p>
    <w:p w14:paraId="0F29C65A">
      <w:pPr>
        <w:spacing w:line="312" w:lineRule="auto"/>
        <w:jc w:val="center"/>
        <w:rPr>
          <w:rFonts w:ascii="仿宋" w:hAnsi="仿宋" w:eastAsia="仿宋" w:cs="仿宋"/>
          <w:b/>
          <w:color w:val="auto"/>
          <w:sz w:val="28"/>
          <w:szCs w:val="28"/>
          <w:highlight w:val="none"/>
        </w:rPr>
      </w:pPr>
    </w:p>
    <w:p w14:paraId="19CD0B36">
      <w:pPr>
        <w:spacing w:line="312" w:lineRule="auto"/>
        <w:jc w:val="center"/>
        <w:rPr>
          <w:rFonts w:ascii="仿宋" w:hAnsi="仿宋" w:eastAsia="仿宋" w:cs="仿宋"/>
          <w:b/>
          <w:color w:val="auto"/>
          <w:sz w:val="28"/>
          <w:szCs w:val="28"/>
          <w:highlight w:val="none"/>
        </w:rPr>
      </w:pPr>
    </w:p>
    <w:p w14:paraId="75136603">
      <w:pPr>
        <w:spacing w:line="312" w:lineRule="auto"/>
        <w:jc w:val="center"/>
        <w:rPr>
          <w:color w:val="auto"/>
          <w:highlight w:val="none"/>
          <w:lang w:val="en-US"/>
        </w:rPr>
      </w:pPr>
      <w:r>
        <w:rPr>
          <w:rFonts w:ascii="仿宋" w:hAnsi="仿宋" w:eastAsia="仿宋" w:cs="仿宋"/>
          <w:b/>
          <w:color w:val="auto"/>
          <w:sz w:val="28"/>
          <w:szCs w:val="28"/>
          <w:highlight w:val="none"/>
          <w:lang w:val="en-US" w:eastAsia="zh-CN"/>
        </w:rPr>
        <w:t>招标编号:</w:t>
      </w:r>
      <w:r>
        <w:rPr>
          <w:rFonts w:ascii="仿宋" w:hAnsi="仿宋" w:eastAsia="仿宋" w:cs="仿宋"/>
          <w:b/>
          <w:bCs/>
          <w:color w:val="auto"/>
          <w:sz w:val="28"/>
          <w:szCs w:val="28"/>
          <w:highlight w:val="none"/>
          <w:lang w:val="en-US" w:eastAsia="zh-CN"/>
        </w:rPr>
        <w:t>ZJFY-20257017</w:t>
      </w:r>
    </w:p>
    <w:tbl>
      <w:tblPr>
        <w:tblStyle w:val="17"/>
        <w:tblW w:w="7801" w:type="dxa"/>
        <w:jc w:val="center"/>
        <w:tblLayout w:type="fixed"/>
        <w:tblCellMar>
          <w:top w:w="0" w:type="dxa"/>
          <w:left w:w="108" w:type="dxa"/>
          <w:bottom w:w="0" w:type="dxa"/>
          <w:right w:w="108" w:type="dxa"/>
        </w:tblCellMar>
      </w:tblPr>
      <w:tblGrid>
        <w:gridCol w:w="2356"/>
        <w:gridCol w:w="5445"/>
      </w:tblGrid>
      <w:tr w14:paraId="15CCF945">
        <w:tblPrEx>
          <w:tblCellMar>
            <w:top w:w="0" w:type="dxa"/>
            <w:left w:w="108" w:type="dxa"/>
            <w:bottom w:w="0" w:type="dxa"/>
            <w:right w:w="108" w:type="dxa"/>
          </w:tblCellMar>
        </w:tblPrEx>
        <w:trPr>
          <w:trHeight w:val="443" w:hRule="atLeast"/>
          <w:jc w:val="center"/>
        </w:trPr>
        <w:tc>
          <w:tcPr>
            <w:tcW w:w="2356" w:type="dxa"/>
            <w:vAlign w:val="center"/>
          </w:tcPr>
          <w:p w14:paraId="4054A37A">
            <w:pPr>
              <w:keepNext w:val="0"/>
              <w:keepLines w:val="0"/>
              <w:suppressLineNumbers w:val="0"/>
              <w:spacing w:before="0" w:beforeAutospacing="0" w:after="0" w:afterAutospacing="0" w:line="312" w:lineRule="auto"/>
              <w:ind w:left="0" w:right="0"/>
              <w:jc w:val="both"/>
              <w:rPr>
                <w:rFonts w:hint="default" w:ascii="仿宋" w:hAnsi="仿宋" w:eastAsia="仿宋" w:cs="仿宋"/>
                <w:color w:val="auto"/>
                <w:sz w:val="28"/>
                <w:szCs w:val="28"/>
                <w:highlight w:val="none"/>
              </w:rPr>
            </w:pPr>
            <w:r>
              <w:rPr>
                <w:rFonts w:hint="default" w:ascii="仿宋" w:hAnsi="仿宋" w:eastAsia="仿宋" w:cs="仿宋"/>
                <w:color w:val="auto"/>
                <w:spacing w:val="93"/>
                <w:kern w:val="0"/>
                <w:sz w:val="28"/>
                <w:szCs w:val="28"/>
                <w:highlight w:val="none"/>
              </w:rPr>
              <w:t>采购单</w:t>
            </w:r>
            <w:r>
              <w:rPr>
                <w:rFonts w:hint="default" w:ascii="仿宋" w:hAnsi="仿宋" w:eastAsia="仿宋" w:cs="仿宋"/>
                <w:color w:val="auto"/>
                <w:spacing w:val="1"/>
                <w:kern w:val="0"/>
                <w:sz w:val="28"/>
                <w:szCs w:val="28"/>
                <w:highlight w:val="none"/>
              </w:rPr>
              <w:t>位</w:t>
            </w:r>
            <w:r>
              <w:rPr>
                <w:rFonts w:hint="default" w:ascii="仿宋" w:hAnsi="仿宋" w:eastAsia="仿宋" w:cs="仿宋"/>
                <w:color w:val="auto"/>
                <w:sz w:val="28"/>
                <w:szCs w:val="28"/>
                <w:highlight w:val="none"/>
              </w:rPr>
              <w:t>：</w:t>
            </w:r>
          </w:p>
        </w:tc>
        <w:tc>
          <w:tcPr>
            <w:tcW w:w="5445" w:type="dxa"/>
            <w:vAlign w:val="center"/>
          </w:tcPr>
          <w:p w14:paraId="7F533983">
            <w:pPr>
              <w:keepNext w:val="0"/>
              <w:keepLines w:val="0"/>
              <w:numPr>
                <w:ilvl w:val="0"/>
                <w:numId w:val="0"/>
              </w:numPr>
              <w:suppressLineNumbers w:val="0"/>
              <w:spacing w:before="0" w:beforeAutospacing="0" w:after="0" w:afterAutospacing="0" w:line="312" w:lineRule="auto"/>
              <w:ind w:left="0" w:right="0"/>
              <w:outlineLvl w:val="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绍兴市第七人民医院</w:t>
            </w:r>
          </w:p>
        </w:tc>
      </w:tr>
      <w:tr w14:paraId="0DD23049">
        <w:tblPrEx>
          <w:tblCellMar>
            <w:top w:w="0" w:type="dxa"/>
            <w:left w:w="108" w:type="dxa"/>
            <w:bottom w:w="0" w:type="dxa"/>
            <w:right w:w="108" w:type="dxa"/>
          </w:tblCellMar>
        </w:tblPrEx>
        <w:trPr>
          <w:trHeight w:val="494" w:hRule="atLeast"/>
          <w:jc w:val="center"/>
        </w:trPr>
        <w:tc>
          <w:tcPr>
            <w:tcW w:w="2356" w:type="dxa"/>
            <w:vAlign w:val="center"/>
          </w:tcPr>
          <w:p w14:paraId="3C4311DE">
            <w:pPr>
              <w:keepNext w:val="0"/>
              <w:keepLines w:val="0"/>
              <w:suppressLineNumbers w:val="0"/>
              <w:spacing w:before="0" w:beforeAutospacing="0" w:after="0" w:afterAutospacing="0" w:line="312" w:lineRule="auto"/>
              <w:ind w:left="0" w:right="0"/>
              <w:jc w:val="both"/>
              <w:rPr>
                <w:rFonts w:hint="default" w:ascii="仿宋" w:hAnsi="仿宋" w:eastAsia="仿宋" w:cs="仿宋"/>
                <w:color w:val="auto"/>
                <w:sz w:val="28"/>
                <w:szCs w:val="28"/>
                <w:highlight w:val="none"/>
              </w:rPr>
            </w:pPr>
            <w:r>
              <w:rPr>
                <w:rFonts w:hint="default" w:ascii="仿宋" w:hAnsi="仿宋" w:eastAsia="仿宋" w:cs="仿宋"/>
                <w:color w:val="auto"/>
                <w:kern w:val="0"/>
                <w:sz w:val="28"/>
                <w:szCs w:val="28"/>
                <w:highlight w:val="none"/>
              </w:rPr>
              <w:t>采购代理机构</w:t>
            </w:r>
            <w:r>
              <w:rPr>
                <w:rFonts w:hint="default" w:ascii="仿宋" w:hAnsi="仿宋" w:eastAsia="仿宋" w:cs="仿宋"/>
                <w:color w:val="auto"/>
                <w:sz w:val="28"/>
                <w:szCs w:val="28"/>
                <w:highlight w:val="none"/>
              </w:rPr>
              <w:t>：</w:t>
            </w:r>
          </w:p>
        </w:tc>
        <w:tc>
          <w:tcPr>
            <w:tcW w:w="5445" w:type="dxa"/>
          </w:tcPr>
          <w:p w14:paraId="055C69B2">
            <w:pPr>
              <w:keepNext w:val="0"/>
              <w:keepLines w:val="0"/>
              <w:suppressLineNumbers w:val="0"/>
              <w:spacing w:before="0" w:beforeAutospacing="0" w:after="0" w:afterAutospacing="0" w:line="312" w:lineRule="auto"/>
              <w:ind w:left="0" w:right="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浙江泛亚工程咨询有限公司</w:t>
            </w:r>
          </w:p>
        </w:tc>
      </w:tr>
      <w:tr w14:paraId="64651BAD">
        <w:tblPrEx>
          <w:tblCellMar>
            <w:top w:w="0" w:type="dxa"/>
            <w:left w:w="108" w:type="dxa"/>
            <w:bottom w:w="0" w:type="dxa"/>
            <w:right w:w="108" w:type="dxa"/>
          </w:tblCellMar>
        </w:tblPrEx>
        <w:trPr>
          <w:trHeight w:val="494" w:hRule="atLeast"/>
          <w:jc w:val="center"/>
        </w:trPr>
        <w:tc>
          <w:tcPr>
            <w:tcW w:w="2356" w:type="dxa"/>
            <w:vAlign w:val="center"/>
          </w:tcPr>
          <w:p w14:paraId="579073F0">
            <w:pPr>
              <w:keepNext w:val="0"/>
              <w:keepLines w:val="0"/>
              <w:suppressLineNumbers w:val="0"/>
              <w:spacing w:before="0" w:beforeAutospacing="0" w:after="0" w:afterAutospacing="0" w:line="312" w:lineRule="auto"/>
              <w:ind w:left="0" w:right="0"/>
              <w:jc w:val="both"/>
              <w:rPr>
                <w:rFonts w:hint="default" w:ascii="仿宋" w:hAnsi="仿宋" w:eastAsia="仿宋" w:cs="仿宋"/>
                <w:color w:val="auto"/>
                <w:kern w:val="0"/>
                <w:sz w:val="28"/>
                <w:szCs w:val="28"/>
                <w:highlight w:val="none"/>
              </w:rPr>
            </w:pPr>
            <w:r>
              <w:rPr>
                <w:rFonts w:hint="default" w:ascii="仿宋" w:hAnsi="仿宋" w:eastAsia="仿宋" w:cs="仿宋"/>
                <w:color w:val="auto"/>
                <w:spacing w:val="93"/>
                <w:kern w:val="0"/>
                <w:sz w:val="28"/>
                <w:szCs w:val="28"/>
                <w:highlight w:val="none"/>
                <w:lang w:eastAsia="zh-CN"/>
              </w:rPr>
              <w:t>监督部</w:t>
            </w:r>
            <w:r>
              <w:rPr>
                <w:rFonts w:hint="default" w:ascii="仿宋" w:hAnsi="仿宋" w:eastAsia="仿宋" w:cs="仿宋"/>
                <w:color w:val="auto"/>
                <w:spacing w:val="1"/>
                <w:kern w:val="0"/>
                <w:sz w:val="28"/>
                <w:szCs w:val="28"/>
                <w:highlight w:val="none"/>
                <w:lang w:eastAsia="zh-CN"/>
              </w:rPr>
              <w:t>门</w:t>
            </w:r>
            <w:r>
              <w:rPr>
                <w:rFonts w:hint="default" w:ascii="仿宋" w:hAnsi="仿宋" w:eastAsia="仿宋" w:cs="仿宋"/>
                <w:color w:val="auto"/>
                <w:sz w:val="28"/>
                <w:szCs w:val="28"/>
                <w:highlight w:val="none"/>
              </w:rPr>
              <w:t>：</w:t>
            </w:r>
          </w:p>
        </w:tc>
        <w:tc>
          <w:tcPr>
            <w:tcW w:w="5445" w:type="dxa"/>
          </w:tcPr>
          <w:p w14:paraId="693A268F">
            <w:pPr>
              <w:keepNext w:val="0"/>
              <w:keepLines w:val="0"/>
              <w:suppressLineNumbers w:val="0"/>
              <w:spacing w:before="0" w:beforeAutospacing="0" w:after="0" w:afterAutospacing="0" w:line="312" w:lineRule="auto"/>
              <w:ind w:left="0" w:right="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绍兴市第七人民医院纪检监察室</w:t>
            </w:r>
          </w:p>
        </w:tc>
      </w:tr>
      <w:tr w14:paraId="78A631F7">
        <w:tblPrEx>
          <w:tblCellMar>
            <w:top w:w="0" w:type="dxa"/>
            <w:left w:w="108" w:type="dxa"/>
            <w:bottom w:w="0" w:type="dxa"/>
            <w:right w:w="108" w:type="dxa"/>
          </w:tblCellMar>
        </w:tblPrEx>
        <w:trPr>
          <w:trHeight w:val="397" w:hRule="atLeast"/>
          <w:jc w:val="center"/>
        </w:trPr>
        <w:tc>
          <w:tcPr>
            <w:tcW w:w="7801" w:type="dxa"/>
            <w:gridSpan w:val="2"/>
          </w:tcPr>
          <w:p w14:paraId="39FA3221">
            <w:pPr>
              <w:keepNext w:val="0"/>
              <w:keepLines w:val="0"/>
              <w:suppressLineNumbers w:val="0"/>
              <w:spacing w:before="0" w:beforeAutospacing="0" w:after="0" w:afterAutospacing="0" w:line="312" w:lineRule="auto"/>
              <w:ind w:left="0" w:right="0"/>
              <w:jc w:val="center"/>
              <w:rPr>
                <w:rFonts w:hint="default" w:ascii="仿宋" w:hAnsi="仿宋" w:eastAsia="仿宋" w:cs="仿宋"/>
                <w:color w:val="auto"/>
                <w:sz w:val="28"/>
                <w:szCs w:val="28"/>
                <w:highlight w:val="none"/>
              </w:rPr>
            </w:pPr>
            <w:r>
              <w:rPr>
                <w:rFonts w:hint="default" w:ascii="仿宋" w:hAnsi="仿宋" w:eastAsia="仿宋" w:cs="Times New Roman"/>
                <w:color w:val="auto"/>
                <w:sz w:val="28"/>
                <w:szCs w:val="28"/>
                <w:highlight w:val="none"/>
              </w:rPr>
              <w:t>二〇二</w:t>
            </w:r>
            <w:r>
              <w:rPr>
                <w:rFonts w:hint="default" w:ascii="仿宋" w:hAnsi="仿宋" w:eastAsia="仿宋" w:cs="Times New Roman"/>
                <w:color w:val="auto"/>
                <w:sz w:val="28"/>
                <w:szCs w:val="28"/>
                <w:highlight w:val="none"/>
                <w:lang w:eastAsia="zh-CN"/>
              </w:rPr>
              <w:t>五</w:t>
            </w:r>
            <w:r>
              <w:rPr>
                <w:rFonts w:hint="default" w:ascii="仿宋" w:hAnsi="仿宋" w:eastAsia="仿宋" w:cs="仿宋"/>
                <w:b w:val="0"/>
                <w:bCs/>
                <w:color w:val="auto"/>
                <w:sz w:val="28"/>
                <w:szCs w:val="28"/>
                <w:highlight w:val="none"/>
              </w:rPr>
              <w:t>年</w:t>
            </w:r>
            <w:r>
              <w:rPr>
                <w:rFonts w:hint="default" w:ascii="仿宋" w:hAnsi="仿宋" w:eastAsia="仿宋" w:cs="仿宋"/>
                <w:b w:val="0"/>
                <w:bCs/>
                <w:color w:val="auto"/>
                <w:sz w:val="28"/>
                <w:szCs w:val="28"/>
                <w:highlight w:val="none"/>
                <w:lang w:eastAsia="zh-CN"/>
              </w:rPr>
              <w:t>十一</w:t>
            </w:r>
            <w:r>
              <w:rPr>
                <w:rFonts w:hint="default" w:ascii="仿宋" w:hAnsi="仿宋" w:eastAsia="仿宋" w:cs="仿宋"/>
                <w:b w:val="0"/>
                <w:bCs/>
                <w:color w:val="auto"/>
                <w:sz w:val="28"/>
                <w:szCs w:val="28"/>
                <w:highlight w:val="none"/>
              </w:rPr>
              <w:t>月</w:t>
            </w:r>
          </w:p>
        </w:tc>
      </w:tr>
    </w:tbl>
    <w:p w14:paraId="405C35AA">
      <w:pPr>
        <w:rPr>
          <w:rFonts w:ascii="仿宋" w:hAnsi="仿宋" w:eastAsia="仿宋" w:cs="仿宋"/>
          <w:b/>
          <w:color w:val="auto"/>
          <w:sz w:val="44"/>
          <w:szCs w:val="44"/>
          <w:highlight w:val="none"/>
        </w:rPr>
      </w:pPr>
    </w:p>
    <w:p w14:paraId="539E8879">
      <w:pPr>
        <w:jc w:val="center"/>
        <w:rPr>
          <w:rFonts w:ascii="仿宋" w:hAnsi="仿宋" w:eastAsia="仿宋" w:cs="仿宋"/>
          <w:b/>
          <w:color w:val="auto"/>
          <w:sz w:val="44"/>
          <w:szCs w:val="44"/>
          <w:highlight w:val="none"/>
        </w:rPr>
      </w:pPr>
    </w:p>
    <w:p w14:paraId="71D81465">
      <w:pPr>
        <w:pStyle w:val="9"/>
        <w:rPr>
          <w:rFonts w:ascii="仿宋" w:hAnsi="仿宋" w:eastAsia="仿宋" w:cs="仿宋"/>
          <w:b/>
          <w:color w:val="auto"/>
          <w:sz w:val="44"/>
          <w:szCs w:val="44"/>
          <w:highlight w:val="none"/>
        </w:rPr>
      </w:pPr>
    </w:p>
    <w:p w14:paraId="053B80A9">
      <w:pPr>
        <w:jc w:val="center"/>
        <w:rPr>
          <w:rFonts w:ascii="仿宋" w:hAnsi="仿宋" w:eastAsia="仿宋" w:cs="仿宋"/>
          <w:b/>
          <w:color w:val="auto"/>
          <w:sz w:val="44"/>
          <w:szCs w:val="44"/>
          <w:highlight w:val="none"/>
        </w:rPr>
      </w:pPr>
    </w:p>
    <w:p w14:paraId="5AFF1722">
      <w:pPr>
        <w:jc w:val="center"/>
        <w:rPr>
          <w:rFonts w:ascii="仿宋" w:hAnsi="仿宋" w:eastAsia="仿宋" w:cs="仿宋"/>
          <w:b/>
          <w:color w:val="auto"/>
          <w:sz w:val="44"/>
          <w:szCs w:val="44"/>
          <w:highlight w:val="none"/>
        </w:rPr>
      </w:pPr>
    </w:p>
    <w:p w14:paraId="6E335F2C">
      <w:pPr>
        <w:jc w:val="center"/>
        <w:rPr>
          <w:rFonts w:ascii="仿宋" w:hAnsi="仿宋" w:eastAsia="仿宋" w:cs="仿宋"/>
          <w:b/>
          <w:color w:val="auto"/>
          <w:sz w:val="44"/>
          <w:szCs w:val="44"/>
          <w:highlight w:val="none"/>
        </w:rPr>
      </w:pPr>
      <w:r>
        <w:rPr>
          <w:rFonts w:ascii="仿宋" w:hAnsi="仿宋" w:eastAsia="仿宋" w:cs="仿宋"/>
          <w:b/>
          <w:color w:val="auto"/>
          <w:sz w:val="44"/>
          <w:szCs w:val="44"/>
          <w:highlight w:val="none"/>
        </w:rPr>
        <w:t>目录</w:t>
      </w:r>
    </w:p>
    <w:p w14:paraId="0175F5EE">
      <w:pPr>
        <w:jc w:val="center"/>
        <w:rPr>
          <w:rFonts w:ascii="仿宋" w:hAnsi="仿宋" w:eastAsia="仿宋" w:cs="仿宋"/>
          <w:b/>
          <w:color w:val="auto"/>
          <w:sz w:val="44"/>
          <w:szCs w:val="44"/>
          <w:highlight w:val="none"/>
        </w:rPr>
      </w:pPr>
    </w:p>
    <w:p w14:paraId="6A705554">
      <w:pPr>
        <w:jc w:val="center"/>
        <w:rPr>
          <w:rFonts w:ascii="仿宋" w:hAnsi="仿宋" w:eastAsia="仿宋" w:cs="仿宋"/>
          <w:b/>
          <w:color w:val="auto"/>
          <w:sz w:val="44"/>
          <w:szCs w:val="44"/>
          <w:highlight w:val="none"/>
        </w:rPr>
      </w:pPr>
    </w:p>
    <w:p w14:paraId="1008D8D4">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第一部分 招标公告</w:t>
      </w:r>
    </w:p>
    <w:p w14:paraId="2CEC7A05">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第二部分 投标须知</w:t>
      </w:r>
    </w:p>
    <w:p w14:paraId="083F74A6">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第三部分 招标项目范围及要求</w:t>
      </w:r>
    </w:p>
    <w:p w14:paraId="00CFDDC6">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第四部分 合同的主要条款</w:t>
      </w:r>
    </w:p>
    <w:p w14:paraId="6B88D308">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第五部分 评标方法及标准</w:t>
      </w:r>
    </w:p>
    <w:p w14:paraId="714DF376">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第六部分 投标文件及其附件格式</w:t>
      </w:r>
    </w:p>
    <w:p w14:paraId="4A0DE879">
      <w:pPr>
        <w:snapToGrid w:val="0"/>
        <w:spacing w:line="480" w:lineRule="auto"/>
        <w:jc w:val="left"/>
        <w:rPr>
          <w:rFonts w:ascii="??_GB2312;Times New Roman" w:hAnsi="??_GB2312;Times New Roman" w:eastAsia="Times New Roman" w:cs="宋体"/>
          <w:b/>
          <w:color w:val="auto"/>
          <w:sz w:val="36"/>
          <w:szCs w:val="36"/>
          <w:highlight w:val="none"/>
        </w:rPr>
      </w:pPr>
    </w:p>
    <w:p w14:paraId="4615F867">
      <w:pPr>
        <w:snapToGrid w:val="0"/>
        <w:spacing w:line="480" w:lineRule="auto"/>
        <w:jc w:val="left"/>
        <w:rPr>
          <w:rFonts w:ascii="??_GB2312;Times New Roman" w:hAnsi="??_GB2312;Times New Roman" w:eastAsia="Times New Roman" w:cs="宋体"/>
          <w:color w:val="auto"/>
          <w:sz w:val="36"/>
          <w:szCs w:val="36"/>
          <w:highlight w:val="none"/>
        </w:rPr>
      </w:pPr>
    </w:p>
    <w:p w14:paraId="7E73B3DC">
      <w:pPr>
        <w:snapToGrid w:val="0"/>
        <w:spacing w:line="480" w:lineRule="auto"/>
        <w:jc w:val="left"/>
        <w:rPr>
          <w:rFonts w:ascii="??_GB2312;Times New Roman" w:hAnsi="??_GB2312;Times New Roman" w:eastAsia="Times New Roman" w:cs="宋体"/>
          <w:color w:val="auto"/>
          <w:sz w:val="36"/>
          <w:szCs w:val="36"/>
          <w:highlight w:val="none"/>
        </w:rPr>
      </w:pPr>
    </w:p>
    <w:p w14:paraId="37EA6CD6">
      <w:pPr>
        <w:snapToGrid w:val="0"/>
        <w:spacing w:line="480" w:lineRule="auto"/>
        <w:jc w:val="left"/>
        <w:rPr>
          <w:rFonts w:ascii="??_GB2312;Times New Roman" w:hAnsi="??_GB2312;Times New Roman" w:eastAsia="Times New Roman" w:cs="宋体"/>
          <w:color w:val="auto"/>
          <w:sz w:val="36"/>
          <w:szCs w:val="36"/>
          <w:highlight w:val="none"/>
        </w:rPr>
      </w:pPr>
    </w:p>
    <w:p w14:paraId="70BCC69C">
      <w:pPr>
        <w:snapToGrid w:val="0"/>
        <w:spacing w:line="288" w:lineRule="auto"/>
        <w:jc w:val="both"/>
        <w:rPr>
          <w:rFonts w:ascii="仿宋" w:hAnsi="仿宋" w:eastAsia="仿宋" w:cs="仿宋"/>
          <w:b/>
          <w:color w:val="auto"/>
          <w:sz w:val="36"/>
          <w:szCs w:val="36"/>
          <w:highlight w:val="none"/>
        </w:rPr>
      </w:pPr>
      <w:r>
        <w:rPr>
          <w:color w:val="auto"/>
          <w:highlight w:val="none"/>
        </w:rPr>
        <w:br w:type="page"/>
      </w:r>
    </w:p>
    <w:p w14:paraId="25C0E17A">
      <w:pPr>
        <w:snapToGrid w:val="0"/>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第一部分 招标公告</w:t>
      </w:r>
    </w:p>
    <w:p w14:paraId="535B21EA">
      <w:pPr>
        <w:pStyle w:val="84"/>
        <w:spacing w:before="0" w:after="120" w:line="288" w:lineRule="auto"/>
        <w:ind w:firstLine="480"/>
        <w:rPr>
          <w:rFonts w:ascii="仿宋" w:hAnsi="仿宋" w:eastAsia="仿宋" w:cs="仿宋"/>
          <w:b/>
          <w:color w:val="auto"/>
          <w:sz w:val="36"/>
          <w:szCs w:val="24"/>
          <w:highlight w:val="none"/>
        </w:rPr>
      </w:pPr>
    </w:p>
    <w:p w14:paraId="1D513BF9">
      <w:pPr>
        <w:keepNext w:val="0"/>
        <w:keepLines w:val="0"/>
        <w:pageBreakBefore w:val="0"/>
        <w:widowControl w:val="0"/>
        <w:kinsoku/>
        <w:overflowPunct/>
        <w:autoSpaceDE/>
        <w:bidi w:val="0"/>
        <w:snapToGrid/>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浙江泛亚工程咨询有限公司受绍兴市第七人民医院委托，就下列项目进行公开招标，特邀请国内合格的投标人前来投标，现将有关事项公告如下：</w:t>
      </w:r>
    </w:p>
    <w:p w14:paraId="74CA7072">
      <w:pPr>
        <w:keepNext w:val="0"/>
        <w:keepLines w:val="0"/>
        <w:pageBreakBefore w:val="0"/>
        <w:widowControl w:val="0"/>
        <w:kinsoku/>
        <w:overflowPunct/>
        <w:autoSpaceDE/>
        <w:bidi w:val="0"/>
        <w:snapToGrid/>
        <w:spacing w:line="440" w:lineRule="exact"/>
        <w:ind w:firstLine="482"/>
        <w:textAlignment w:val="auto"/>
        <w:rPr>
          <w:rFonts w:ascii="仿宋" w:hAnsi="仿宋" w:eastAsia="仿宋" w:cs="仿宋"/>
          <w:color w:val="auto"/>
          <w:sz w:val="24"/>
          <w:highlight w:val="none"/>
          <w:lang w:eastAsia="zh-CN"/>
        </w:rPr>
      </w:pPr>
      <w:r>
        <w:rPr>
          <w:rFonts w:ascii="仿宋" w:hAnsi="仿宋" w:eastAsia="仿宋" w:cs="仿宋"/>
          <w:b/>
          <w:bCs/>
          <w:color w:val="auto"/>
          <w:sz w:val="24"/>
          <w:highlight w:val="none"/>
        </w:rPr>
        <w:t>一、招标编号：</w:t>
      </w:r>
      <w:r>
        <w:rPr>
          <w:rFonts w:ascii="仿宋" w:hAnsi="仿宋" w:eastAsia="仿宋" w:cs="仿宋"/>
          <w:color w:val="auto"/>
          <w:sz w:val="24"/>
          <w:highlight w:val="none"/>
          <w:lang w:eastAsia="zh-CN"/>
        </w:rPr>
        <w:t>ZJFY-20257017</w:t>
      </w:r>
    </w:p>
    <w:p w14:paraId="0061A279">
      <w:pPr>
        <w:keepNext w:val="0"/>
        <w:keepLines w:val="0"/>
        <w:pageBreakBefore w:val="0"/>
        <w:widowControl w:val="0"/>
        <w:kinsoku/>
        <w:overflowPunct/>
        <w:autoSpaceDE/>
        <w:bidi w:val="0"/>
        <w:snapToGrid/>
        <w:spacing w:line="440" w:lineRule="exact"/>
        <w:ind w:firstLine="482"/>
        <w:textAlignment w:val="auto"/>
        <w:rPr>
          <w:rFonts w:cs="仿宋"/>
          <w:color w:val="auto"/>
          <w:highlight w:val="none"/>
        </w:rPr>
      </w:pPr>
      <w:r>
        <w:rPr>
          <w:rFonts w:ascii="仿宋" w:hAnsi="仿宋" w:eastAsia="仿宋" w:cs="仿宋"/>
          <w:b/>
          <w:bCs/>
          <w:color w:val="auto"/>
          <w:sz w:val="24"/>
          <w:highlight w:val="none"/>
        </w:rPr>
        <w:t>二、招标项目名称及数量（采购需求详见招标文件）</w:t>
      </w:r>
    </w:p>
    <w:tbl>
      <w:tblPr>
        <w:tblStyle w:val="17"/>
        <w:tblW w:w="8240" w:type="dxa"/>
        <w:jc w:val="center"/>
        <w:tblLayout w:type="fixed"/>
        <w:tblCellMar>
          <w:top w:w="0" w:type="dxa"/>
          <w:left w:w="108" w:type="dxa"/>
          <w:bottom w:w="0" w:type="dxa"/>
          <w:right w:w="108" w:type="dxa"/>
        </w:tblCellMar>
      </w:tblPr>
      <w:tblGrid>
        <w:gridCol w:w="1035"/>
        <w:gridCol w:w="4525"/>
        <w:gridCol w:w="2680"/>
      </w:tblGrid>
      <w:tr w14:paraId="1F829BBF">
        <w:tblPrEx>
          <w:tblCellMar>
            <w:top w:w="0" w:type="dxa"/>
            <w:left w:w="108" w:type="dxa"/>
            <w:bottom w:w="0" w:type="dxa"/>
            <w:right w:w="108" w:type="dxa"/>
          </w:tblCellMar>
        </w:tblPrEx>
        <w:trPr>
          <w:trHeight w:val="395" w:hRule="atLeast"/>
          <w:jc w:val="center"/>
        </w:trPr>
        <w:tc>
          <w:tcPr>
            <w:tcW w:w="1035" w:type="dxa"/>
            <w:tcBorders>
              <w:top w:val="single" w:color="000000" w:sz="4" w:space="0"/>
              <w:left w:val="single" w:color="000000" w:sz="4" w:space="0"/>
              <w:bottom w:val="single" w:color="000000" w:sz="4" w:space="0"/>
              <w:right w:val="single" w:color="000000" w:sz="4" w:space="0"/>
            </w:tcBorders>
            <w:vAlign w:val="center"/>
          </w:tcPr>
          <w:p w14:paraId="420659BE">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标项</w:t>
            </w:r>
          </w:p>
        </w:tc>
        <w:tc>
          <w:tcPr>
            <w:tcW w:w="4525" w:type="dxa"/>
            <w:tcBorders>
              <w:top w:val="single" w:color="000000" w:sz="4" w:space="0"/>
              <w:left w:val="single" w:color="000000" w:sz="4" w:space="0"/>
              <w:bottom w:val="single" w:color="000000" w:sz="4" w:space="0"/>
              <w:right w:val="single" w:color="000000" w:sz="4" w:space="0"/>
            </w:tcBorders>
            <w:vAlign w:val="center"/>
          </w:tcPr>
          <w:p w14:paraId="07ED6140">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lang w:eastAsia="zh-CN"/>
              </w:rPr>
            </w:pPr>
            <w:r>
              <w:rPr>
                <w:rFonts w:hint="default" w:ascii="仿宋" w:hAnsi="仿宋" w:eastAsia="仿宋" w:cs="仿宋"/>
                <w:b/>
                <w:color w:val="auto"/>
                <w:kern w:val="0"/>
                <w:sz w:val="24"/>
                <w:highlight w:val="none"/>
              </w:rPr>
              <w:t>标段名称</w:t>
            </w:r>
            <w:r>
              <w:rPr>
                <w:rFonts w:hint="default" w:ascii="仿宋" w:hAnsi="仿宋" w:eastAsia="仿宋" w:cs="仿宋"/>
                <w:b/>
                <w:color w:val="auto"/>
                <w:kern w:val="0"/>
                <w:sz w:val="24"/>
                <w:highlight w:val="none"/>
                <w:lang w:eastAsia="zh-CN"/>
              </w:rPr>
              <w:t>及数量</w:t>
            </w:r>
          </w:p>
        </w:tc>
        <w:tc>
          <w:tcPr>
            <w:tcW w:w="2680" w:type="dxa"/>
            <w:tcBorders>
              <w:top w:val="single" w:color="000000" w:sz="4" w:space="0"/>
              <w:left w:val="single" w:color="000000" w:sz="4" w:space="0"/>
              <w:bottom w:val="single" w:color="000000" w:sz="4" w:space="0"/>
              <w:right w:val="single" w:color="000000" w:sz="4" w:space="0"/>
            </w:tcBorders>
            <w:vAlign w:val="center"/>
          </w:tcPr>
          <w:p w14:paraId="6A2894B8">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预算金额或上限价</w:t>
            </w:r>
          </w:p>
          <w:p w14:paraId="0295CD49">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（单位：人民币元）</w:t>
            </w:r>
          </w:p>
        </w:tc>
      </w:tr>
      <w:tr w14:paraId="79471BDA">
        <w:tblPrEx>
          <w:tblCellMar>
            <w:top w:w="0" w:type="dxa"/>
            <w:left w:w="108" w:type="dxa"/>
            <w:bottom w:w="0" w:type="dxa"/>
            <w:right w:w="108" w:type="dxa"/>
          </w:tblCellMar>
        </w:tblPrEx>
        <w:trPr>
          <w:trHeight w:val="790" w:hRule="atLeast"/>
          <w:jc w:val="center"/>
        </w:trPr>
        <w:tc>
          <w:tcPr>
            <w:tcW w:w="1035" w:type="dxa"/>
            <w:tcBorders>
              <w:top w:val="single" w:color="000000" w:sz="4" w:space="0"/>
              <w:left w:val="single" w:color="000000" w:sz="4" w:space="0"/>
              <w:bottom w:val="single" w:color="000000" w:sz="4" w:space="0"/>
              <w:right w:val="single" w:color="000000" w:sz="4" w:space="0"/>
            </w:tcBorders>
            <w:vAlign w:val="center"/>
          </w:tcPr>
          <w:p w14:paraId="2CD2D8F9">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0</w:t>
            </w:r>
            <w:r>
              <w:rPr>
                <w:rFonts w:hint="default" w:ascii="仿宋" w:hAnsi="仿宋" w:eastAsia="仿宋" w:cs="仿宋"/>
                <w:color w:val="auto"/>
                <w:sz w:val="24"/>
                <w:szCs w:val="24"/>
                <w:highlight w:val="none"/>
              </w:rPr>
              <w:t>1</w:t>
            </w:r>
          </w:p>
        </w:tc>
        <w:tc>
          <w:tcPr>
            <w:tcW w:w="4525" w:type="dxa"/>
            <w:tcBorders>
              <w:top w:val="single" w:color="000000" w:sz="4" w:space="0"/>
              <w:left w:val="single" w:color="000000" w:sz="4" w:space="0"/>
              <w:bottom w:val="single" w:color="000000" w:sz="4" w:space="0"/>
              <w:right w:val="single" w:color="000000" w:sz="4" w:space="0"/>
            </w:tcBorders>
            <w:vAlign w:val="center"/>
          </w:tcPr>
          <w:p w14:paraId="656C0431">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绍兴市第七人民医院智慧消防项目</w:t>
            </w:r>
          </w:p>
        </w:tc>
        <w:tc>
          <w:tcPr>
            <w:tcW w:w="2680" w:type="dxa"/>
            <w:tcBorders>
              <w:top w:val="single" w:color="000000" w:sz="4" w:space="0"/>
              <w:left w:val="single" w:color="000000" w:sz="4" w:space="0"/>
              <w:bottom w:val="single" w:color="000000" w:sz="4" w:space="0"/>
              <w:right w:val="single" w:color="000000" w:sz="4" w:space="0"/>
            </w:tcBorders>
            <w:vAlign w:val="center"/>
          </w:tcPr>
          <w:p w14:paraId="668F61F7">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rPr>
              <w:t>￥</w:t>
            </w:r>
            <w:r>
              <w:rPr>
                <w:rFonts w:hint="default" w:ascii="仿宋" w:hAnsi="仿宋" w:eastAsia="仿宋" w:cs="仿宋"/>
                <w:color w:val="auto"/>
                <w:sz w:val="24"/>
                <w:szCs w:val="24"/>
                <w:highlight w:val="none"/>
                <w:lang w:val="en-US" w:eastAsia="zh-CN"/>
              </w:rPr>
              <w:t>100000.00</w:t>
            </w:r>
          </w:p>
        </w:tc>
      </w:tr>
    </w:tbl>
    <w:p w14:paraId="6E5FA59B">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color w:val="auto"/>
          <w:sz w:val="24"/>
          <w:highlight w:val="none"/>
        </w:rPr>
        <w:t>三、</w:t>
      </w:r>
      <w:r>
        <w:rPr>
          <w:rFonts w:ascii="仿宋" w:hAnsi="仿宋" w:eastAsia="仿宋" w:cs="仿宋"/>
          <w:b/>
          <w:bCs/>
          <w:color w:val="auto"/>
          <w:sz w:val="24"/>
          <w:highlight w:val="none"/>
        </w:rPr>
        <w:t>供应商的资格要求：</w:t>
      </w:r>
    </w:p>
    <w:p w14:paraId="09E1E6BD">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w:t>
      </w:r>
      <w:r>
        <w:rPr>
          <w:rFonts w:ascii="仿宋" w:hAnsi="仿宋" w:eastAsia="仿宋" w:cs="仿宋"/>
          <w:color w:val="auto"/>
          <w:sz w:val="24"/>
          <w:highlight w:val="none"/>
        </w:rPr>
        <w:t>符合政府采购法第二十二条之供应商资格规定；</w:t>
      </w:r>
    </w:p>
    <w:p w14:paraId="3E552A63">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lang w:eastAsia="zh-CN"/>
        </w:rPr>
      </w:pPr>
      <w:r>
        <w:rPr>
          <w:rFonts w:ascii="仿宋" w:hAnsi="仿宋" w:eastAsia="仿宋" w:cs="仿宋"/>
          <w:color w:val="auto"/>
          <w:sz w:val="24"/>
          <w:highlight w:val="none"/>
          <w:lang w:val="en-US" w:eastAsia="zh-CN"/>
        </w:rPr>
        <w:t>2</w:t>
      </w:r>
      <w:r>
        <w:rPr>
          <w:rFonts w:ascii="仿宋" w:hAnsi="仿宋" w:eastAsia="仿宋" w:cs="仿宋"/>
          <w:color w:val="auto"/>
          <w:sz w:val="24"/>
          <w:highlight w:val="none"/>
          <w:lang w:eastAsia="zh-CN"/>
        </w:rPr>
        <w:t>、未被“信用中国”（www.creditchina.gov.cn）、中国政府采购网（www.ccgp.gov.cn）列入失信被执行人、重大税收违法失信主体、政府采购严重违法失信行为记录名单；</w:t>
      </w:r>
    </w:p>
    <w:p w14:paraId="2A318C74">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lang w:val="en-US" w:eastAsia="zh-CN"/>
        </w:rPr>
        <w:t>3、</w:t>
      </w:r>
      <w:r>
        <w:rPr>
          <w:rFonts w:ascii="仿宋" w:hAnsi="仿宋" w:eastAsia="仿宋" w:cs="仿宋"/>
          <w:color w:val="auto"/>
          <w:sz w:val="24"/>
          <w:highlight w:val="none"/>
        </w:rPr>
        <w:t>落实政府采购政策需满足的资格要求：专门面向中小企业，服务全部由符合政策要求的中小企业提供，提供中小企业声明函</w:t>
      </w:r>
      <w:r>
        <w:rPr>
          <w:rFonts w:ascii="仿宋" w:hAnsi="仿宋" w:eastAsia="仿宋" w:cs="仿宋"/>
          <w:color w:val="auto"/>
          <w:sz w:val="24"/>
          <w:highlight w:val="none"/>
          <w:lang w:eastAsia="zh-CN"/>
        </w:rPr>
        <w:t>（所属行业：软件和信息技术服务业）</w:t>
      </w:r>
      <w:r>
        <w:rPr>
          <w:rFonts w:ascii="仿宋" w:hAnsi="仿宋" w:eastAsia="仿宋" w:cs="仿宋"/>
          <w:color w:val="auto"/>
          <w:sz w:val="24"/>
          <w:highlight w:val="none"/>
        </w:rPr>
        <w:t>；</w:t>
      </w:r>
    </w:p>
    <w:p w14:paraId="36D55B1A">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lang w:val="en-US" w:eastAsia="zh-CN"/>
        </w:rPr>
        <w:t>4</w:t>
      </w:r>
      <w:r>
        <w:rPr>
          <w:rFonts w:ascii="仿宋" w:hAnsi="仿宋" w:eastAsia="仿宋" w:cs="仿宋"/>
          <w:color w:val="auto"/>
          <w:sz w:val="24"/>
          <w:highlight w:val="none"/>
          <w:lang w:eastAsia="zh-CN"/>
        </w:rPr>
        <w:t>、</w:t>
      </w:r>
      <w:r>
        <w:rPr>
          <w:rFonts w:ascii="仿宋" w:hAnsi="仿宋" w:eastAsia="仿宋" w:cs="仿宋"/>
          <w:color w:val="auto"/>
          <w:sz w:val="24"/>
          <w:highlight w:val="none"/>
        </w:rPr>
        <w:t>本项目的特定资格要求：</w:t>
      </w:r>
      <w:r>
        <w:rPr>
          <w:rFonts w:ascii="仿宋" w:hAnsi="仿宋" w:eastAsia="仿宋" w:cs="仿宋"/>
          <w:color w:val="auto"/>
          <w:sz w:val="24"/>
          <w:highlight w:val="none"/>
          <w:lang w:eastAsia="zh-CN"/>
        </w:rPr>
        <w:t>无</w:t>
      </w:r>
      <w:r>
        <w:rPr>
          <w:rFonts w:ascii="仿宋" w:hAnsi="仿宋" w:eastAsia="仿宋" w:cs="仿宋"/>
          <w:color w:val="auto"/>
          <w:sz w:val="24"/>
          <w:highlight w:val="none"/>
        </w:rPr>
        <w:t>。</w:t>
      </w:r>
    </w:p>
    <w:p w14:paraId="5A5A76B4">
      <w:pPr>
        <w:keepNext w:val="0"/>
        <w:keepLines w:val="0"/>
        <w:pageBreakBefore w:val="0"/>
        <w:widowControl w:val="0"/>
        <w:kinsoku/>
        <w:overflowPunct/>
        <w:autoSpaceDE/>
        <w:bidi w:val="0"/>
        <w:spacing w:line="440" w:lineRule="exact"/>
        <w:ind w:left="479" w:firstLine="0"/>
        <w:textAlignment w:val="auto"/>
        <w:rPr>
          <w:b/>
          <w:color w:val="auto"/>
          <w:highlight w:val="none"/>
        </w:rPr>
      </w:pPr>
      <w:r>
        <w:rPr>
          <w:rFonts w:ascii="仿宋" w:hAnsi="仿宋" w:eastAsia="仿宋" w:cs="仿宋"/>
          <w:b/>
          <w:color w:val="auto"/>
          <w:sz w:val="24"/>
          <w:highlight w:val="none"/>
        </w:rPr>
        <w:t>四、资格审查方式：</w:t>
      </w:r>
    </w:p>
    <w:p w14:paraId="467FE9AD">
      <w:pPr>
        <w:keepNext w:val="0"/>
        <w:keepLines w:val="0"/>
        <w:pageBreakBefore w:val="0"/>
        <w:widowControl w:val="0"/>
        <w:kinsoku/>
        <w:overflowPunct/>
        <w:autoSpaceDE/>
        <w:bidi w:val="0"/>
        <w:spacing w:line="440" w:lineRule="exact"/>
        <w:ind w:firstLine="480"/>
        <w:textAlignment w:val="auto"/>
        <w:rPr>
          <w:rFonts w:ascii="仿宋" w:hAnsi="仿宋" w:eastAsia="仿宋" w:cs="仿宋"/>
          <w:bCs/>
          <w:color w:val="auto"/>
          <w:sz w:val="24"/>
          <w:highlight w:val="none"/>
        </w:rPr>
      </w:pPr>
      <w:r>
        <w:rPr>
          <w:rFonts w:ascii="仿宋" w:hAnsi="仿宋" w:eastAsia="仿宋" w:cs="仿宋"/>
          <w:bCs/>
          <w:color w:val="auto"/>
          <w:sz w:val="24"/>
          <w:highlight w:val="none"/>
        </w:rPr>
        <w:t>1</w:t>
      </w:r>
      <w:r>
        <w:rPr>
          <w:rFonts w:ascii="仿宋" w:hAnsi="仿宋" w:eastAsia="仿宋" w:cs="仿宋"/>
          <w:bCs/>
          <w:color w:val="auto"/>
          <w:sz w:val="24"/>
          <w:highlight w:val="none"/>
          <w:lang w:eastAsia="zh-CN"/>
        </w:rPr>
        <w:t>、</w:t>
      </w:r>
      <w:r>
        <w:rPr>
          <w:rFonts w:ascii="仿宋" w:hAnsi="仿宋" w:eastAsia="仿宋" w:cs="仿宋"/>
          <w:bCs/>
          <w:color w:val="auto"/>
          <w:sz w:val="24"/>
          <w:highlight w:val="none"/>
        </w:rPr>
        <w:t>资格后审。</w:t>
      </w:r>
    </w:p>
    <w:p w14:paraId="39F032F3">
      <w:pPr>
        <w:keepNext w:val="0"/>
        <w:keepLines w:val="0"/>
        <w:pageBreakBefore w:val="0"/>
        <w:widowControl w:val="0"/>
        <w:kinsoku/>
        <w:overflowPunct/>
        <w:autoSpaceDE/>
        <w:bidi w:val="0"/>
        <w:spacing w:line="440" w:lineRule="exact"/>
        <w:ind w:left="479"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五、</w:t>
      </w:r>
      <w:r>
        <w:rPr>
          <w:rFonts w:ascii="仿宋" w:hAnsi="仿宋" w:eastAsia="仿宋" w:cs="仿宋"/>
          <w:b/>
          <w:color w:val="auto"/>
          <w:sz w:val="24"/>
          <w:highlight w:val="none"/>
          <w:lang w:eastAsia="zh-CN"/>
        </w:rPr>
        <w:t>获取方式</w:t>
      </w:r>
      <w:r>
        <w:rPr>
          <w:rFonts w:ascii="仿宋" w:hAnsi="仿宋" w:eastAsia="仿宋" w:cs="仿宋"/>
          <w:b/>
          <w:color w:val="auto"/>
          <w:sz w:val="24"/>
          <w:highlight w:val="none"/>
        </w:rPr>
        <w:t>：</w:t>
      </w:r>
    </w:p>
    <w:p w14:paraId="1A26D143">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、获取时间</w:t>
      </w:r>
      <w:r>
        <w:rPr>
          <w:rFonts w:ascii="仿宋" w:hAnsi="仿宋" w:eastAsia="仿宋" w:cs="仿宋"/>
          <w:color w:val="auto"/>
          <w:sz w:val="24"/>
          <w:highlight w:val="none"/>
        </w:rPr>
        <w:t>：</w:t>
      </w:r>
      <w:r>
        <w:rPr>
          <w:rFonts w:ascii="仿宋" w:hAnsi="仿宋" w:eastAsia="仿宋" w:cs="Arial"/>
          <w:bCs/>
          <w:color w:val="auto"/>
          <w:sz w:val="24"/>
          <w:highlight w:val="none"/>
        </w:rPr>
        <w:t>202</w:t>
      </w:r>
      <w:r>
        <w:rPr>
          <w:rFonts w:ascii="仿宋" w:hAnsi="仿宋" w:eastAsia="仿宋" w:cs="Arial"/>
          <w:bCs/>
          <w:color w:val="auto"/>
          <w:sz w:val="24"/>
          <w:highlight w:val="none"/>
          <w:lang w:val="en-US" w:eastAsia="zh-CN"/>
        </w:rPr>
        <w:t xml:space="preserve">5年  </w:t>
      </w:r>
      <w:r>
        <w:rPr>
          <w:rFonts w:ascii="仿宋" w:hAnsi="仿宋" w:eastAsia="仿宋" w:cs="Arial"/>
          <w:bCs/>
          <w:color w:val="auto"/>
          <w:sz w:val="24"/>
          <w:highlight w:val="none"/>
        </w:rPr>
        <w:t>月</w:t>
      </w:r>
      <w:r>
        <w:rPr>
          <w:rFonts w:ascii="仿宋" w:hAnsi="仿宋" w:eastAsia="仿宋" w:cs="Arial"/>
          <w:bCs/>
          <w:color w:val="auto"/>
          <w:sz w:val="24"/>
          <w:highlight w:val="none"/>
          <w:lang w:val="en-US" w:eastAsia="zh-CN"/>
        </w:rPr>
        <w:t xml:space="preserve">  </w:t>
      </w:r>
      <w:r>
        <w:rPr>
          <w:rFonts w:ascii="仿宋" w:hAnsi="仿宋" w:eastAsia="仿宋" w:cs="Arial"/>
          <w:bCs/>
          <w:color w:val="auto"/>
          <w:sz w:val="24"/>
          <w:highlight w:val="none"/>
        </w:rPr>
        <w:t>日 至 202</w:t>
      </w:r>
      <w:r>
        <w:rPr>
          <w:rFonts w:ascii="仿宋" w:hAnsi="仿宋" w:eastAsia="仿宋" w:cs="Arial"/>
          <w:bCs/>
          <w:color w:val="auto"/>
          <w:sz w:val="24"/>
          <w:highlight w:val="none"/>
          <w:lang w:val="en-US" w:eastAsia="zh-CN"/>
        </w:rPr>
        <w:t>5</w:t>
      </w:r>
      <w:r>
        <w:rPr>
          <w:rFonts w:ascii="仿宋" w:hAnsi="仿宋" w:eastAsia="仿宋" w:cs="Arial"/>
          <w:bCs/>
          <w:color w:val="auto"/>
          <w:sz w:val="24"/>
          <w:highlight w:val="none"/>
        </w:rPr>
        <w:t>年</w:t>
      </w:r>
      <w:r>
        <w:rPr>
          <w:rFonts w:ascii="仿宋" w:hAnsi="仿宋" w:eastAsia="仿宋" w:cs="Arial"/>
          <w:bCs/>
          <w:color w:val="auto"/>
          <w:sz w:val="24"/>
          <w:highlight w:val="none"/>
          <w:lang w:val="en-US" w:eastAsia="zh-CN"/>
        </w:rPr>
        <w:t xml:space="preserve">  </w:t>
      </w:r>
      <w:r>
        <w:rPr>
          <w:rFonts w:ascii="仿宋" w:hAnsi="仿宋" w:eastAsia="仿宋" w:cs="Arial"/>
          <w:bCs/>
          <w:color w:val="auto"/>
          <w:sz w:val="24"/>
          <w:highlight w:val="none"/>
        </w:rPr>
        <w:t>月</w:t>
      </w:r>
      <w:r>
        <w:rPr>
          <w:rFonts w:ascii="仿宋" w:hAnsi="仿宋" w:eastAsia="仿宋" w:cs="Arial"/>
          <w:bCs/>
          <w:color w:val="auto"/>
          <w:sz w:val="24"/>
          <w:highlight w:val="none"/>
          <w:lang w:val="en-US" w:eastAsia="zh-CN"/>
        </w:rPr>
        <w:t xml:space="preserve">  </w:t>
      </w:r>
      <w:r>
        <w:rPr>
          <w:rFonts w:ascii="仿宋" w:hAnsi="仿宋" w:eastAsia="仿宋" w:cs="Arial"/>
          <w:bCs/>
          <w:color w:val="auto"/>
          <w:sz w:val="24"/>
          <w:highlight w:val="none"/>
        </w:rPr>
        <w:t>日上午08：30-11：30时整；下午14：00-17：00时整(双休日及法定节假日除外）在浙江泛亚工程咨询有限公司（绍兴市越城区稽山街道天姥路5号2幢2楼201）受理。</w:t>
      </w:r>
      <w:r>
        <w:rPr>
          <w:rFonts w:ascii="仿宋" w:hAnsi="仿宋" w:eastAsia="仿宋" w:cs="Arial"/>
          <w:bCs/>
          <w:color w:val="auto"/>
          <w:sz w:val="24"/>
          <w:highlight w:val="none"/>
          <w:lang w:eastAsia="zh-CN"/>
        </w:rPr>
        <w:t>获取</w:t>
      </w:r>
      <w:r>
        <w:rPr>
          <w:rFonts w:ascii="仿宋" w:hAnsi="仿宋" w:eastAsia="仿宋" w:cs="Arial"/>
          <w:bCs/>
          <w:color w:val="auto"/>
          <w:sz w:val="24"/>
          <w:highlight w:val="none"/>
        </w:rPr>
        <w:t>时需提供以下资料（复印件需加盖单位公章）：</w:t>
      </w:r>
      <w:r>
        <w:rPr>
          <w:rFonts w:ascii="仿宋" w:hAnsi="仿宋" w:eastAsia="仿宋" w:cs="Arial"/>
          <w:bCs/>
          <w:color w:val="auto"/>
          <w:sz w:val="24"/>
          <w:highlight w:val="none"/>
          <w:u w:val="single"/>
        </w:rPr>
        <w:t>单位介绍信或授权委托书、</w:t>
      </w:r>
      <w:r>
        <w:rPr>
          <w:rFonts w:ascii="仿宋" w:hAnsi="仿宋" w:eastAsia="仿宋" w:cs="Arial"/>
          <w:bCs/>
          <w:color w:val="auto"/>
          <w:sz w:val="24"/>
          <w:highlight w:val="none"/>
          <w:u w:val="single"/>
          <w:lang w:eastAsia="zh-CN"/>
        </w:rPr>
        <w:t>获取</w:t>
      </w:r>
      <w:r>
        <w:rPr>
          <w:rFonts w:ascii="仿宋" w:hAnsi="仿宋" w:eastAsia="仿宋" w:cs="Arial"/>
          <w:bCs/>
          <w:color w:val="auto"/>
          <w:sz w:val="24"/>
          <w:highlight w:val="none"/>
          <w:u w:val="single"/>
        </w:rPr>
        <w:t>者身份证、企业营业执照、中小企业声明函（备注联系人及联系方式，QQ邮箱等内容）</w:t>
      </w:r>
      <w:r>
        <w:rPr>
          <w:rFonts w:ascii="仿宋" w:hAnsi="仿宋" w:eastAsia="仿宋" w:cs="Arial"/>
          <w:bCs/>
          <w:color w:val="auto"/>
          <w:sz w:val="24"/>
          <w:highlight w:val="none"/>
        </w:rPr>
        <w:t>。</w:t>
      </w:r>
      <w:r>
        <w:rPr>
          <w:rFonts w:ascii="仿宋" w:hAnsi="仿宋" w:eastAsia="仿宋" w:cs="Arial"/>
          <w:b/>
          <w:bCs/>
          <w:color w:val="auto"/>
          <w:sz w:val="24"/>
          <w:highlight w:val="none"/>
        </w:rPr>
        <w:t>以上资料均需每页加盖公章，以扫描件形式发至邮箱</w:t>
      </w:r>
      <w:r>
        <w:rPr>
          <w:rFonts w:ascii="仿宋" w:hAnsi="仿宋" w:eastAsia="仿宋" w:cs="Arial"/>
          <w:b/>
          <w:bCs/>
          <w:color w:val="auto"/>
          <w:sz w:val="24"/>
          <w:highlight w:val="none"/>
          <w:lang w:val="en-US" w:eastAsia="zh-CN"/>
        </w:rPr>
        <w:t>603490035</w:t>
      </w:r>
      <w:r>
        <w:rPr>
          <w:rFonts w:ascii="仿宋" w:hAnsi="仿宋" w:eastAsia="仿宋" w:cs="Arial"/>
          <w:b/>
          <w:bCs/>
          <w:color w:val="auto"/>
          <w:sz w:val="24"/>
          <w:highlight w:val="none"/>
        </w:rPr>
        <w:t>@qq.com。（上述资料仅作为获取招标文件时登记使用，不对投标人资格是否符合作出评判）未及时提交资料或资料不符合要求的，则不予获取招标文件，招标文件以电子版形式发送至各投标单位邮箱，如出现同一家投标单位重复</w:t>
      </w:r>
      <w:r>
        <w:rPr>
          <w:rFonts w:ascii="仿宋" w:hAnsi="仿宋" w:eastAsia="仿宋" w:cs="Arial"/>
          <w:b/>
          <w:bCs/>
          <w:color w:val="auto"/>
          <w:sz w:val="24"/>
          <w:highlight w:val="none"/>
          <w:lang w:eastAsia="zh-CN"/>
        </w:rPr>
        <w:t>获取</w:t>
      </w:r>
      <w:r>
        <w:rPr>
          <w:rFonts w:ascii="仿宋" w:hAnsi="仿宋" w:eastAsia="仿宋" w:cs="Arial"/>
          <w:b/>
          <w:bCs/>
          <w:color w:val="auto"/>
          <w:sz w:val="24"/>
          <w:highlight w:val="none"/>
        </w:rPr>
        <w:t>的，以提交资料的时间领先者为准。</w:t>
      </w:r>
    </w:p>
    <w:p w14:paraId="3483317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2</w:t>
      </w:r>
      <w:r>
        <w:rPr>
          <w:rFonts w:ascii="仿宋" w:hAnsi="仿宋" w:eastAsia="仿宋" w:cs="仿宋"/>
          <w:color w:val="auto"/>
          <w:sz w:val="24"/>
          <w:highlight w:val="none"/>
          <w:lang w:eastAsia="zh-CN"/>
        </w:rPr>
        <w:t>、</w:t>
      </w:r>
      <w:r>
        <w:rPr>
          <w:rFonts w:ascii="仿宋" w:hAnsi="仿宋" w:eastAsia="仿宋" w:cs="仿宋"/>
          <w:color w:val="auto"/>
          <w:sz w:val="24"/>
          <w:highlight w:val="none"/>
        </w:rPr>
        <w:t>采购文件工本费：每份2</w:t>
      </w:r>
      <w:r>
        <w:rPr>
          <w:rFonts w:ascii="仿宋" w:hAnsi="仿宋" w:eastAsia="仿宋" w:cs="仿宋"/>
          <w:color w:val="auto"/>
          <w:sz w:val="24"/>
          <w:highlight w:val="none"/>
          <w:lang w:val="en-US" w:eastAsia="zh-CN"/>
        </w:rPr>
        <w:t>00</w:t>
      </w:r>
      <w:r>
        <w:rPr>
          <w:rFonts w:ascii="仿宋" w:hAnsi="仿宋" w:eastAsia="仿宋" w:cs="仿宋"/>
          <w:color w:val="auto"/>
          <w:sz w:val="24"/>
          <w:highlight w:val="none"/>
        </w:rPr>
        <w:t>元，售后不退。采购文件工本费应在投标</w:t>
      </w:r>
      <w:r>
        <w:rPr>
          <w:rFonts w:ascii="仿宋" w:hAnsi="仿宋" w:eastAsia="仿宋" w:cs="仿宋"/>
          <w:color w:val="auto"/>
          <w:sz w:val="24"/>
          <w:highlight w:val="none"/>
          <w:lang w:eastAsia="zh-CN"/>
        </w:rPr>
        <w:t>获取</w:t>
      </w:r>
      <w:r>
        <w:rPr>
          <w:rFonts w:ascii="仿宋" w:hAnsi="仿宋" w:eastAsia="仿宋" w:cs="仿宋"/>
          <w:color w:val="auto"/>
          <w:sz w:val="24"/>
          <w:highlight w:val="none"/>
        </w:rPr>
        <w:t>之前缴纳至以下支付宝账户：（1）支付宝账号：</w:t>
      </w:r>
      <w:r>
        <w:rPr>
          <w:rFonts w:ascii="仿宋" w:hAnsi="仿宋" w:eastAsia="仿宋" w:cs="仿宋"/>
          <w:color w:val="auto"/>
          <w:sz w:val="24"/>
          <w:highlight w:val="none"/>
          <w:lang w:val="en-US" w:eastAsia="zh-CN"/>
        </w:rPr>
        <w:t>13858435067</w:t>
      </w:r>
      <w:r>
        <w:rPr>
          <w:rFonts w:ascii="仿宋" w:hAnsi="仿宋" w:eastAsia="仿宋" w:cs="仿宋"/>
          <w:color w:val="auto"/>
          <w:sz w:val="24"/>
          <w:highlight w:val="none"/>
        </w:rPr>
        <w:t>（2）备注：项目名称和</w:t>
      </w:r>
      <w:r>
        <w:rPr>
          <w:rFonts w:ascii="仿宋" w:hAnsi="仿宋" w:eastAsia="仿宋" w:cs="仿宋"/>
          <w:color w:val="auto"/>
          <w:sz w:val="24"/>
          <w:highlight w:val="none"/>
          <w:lang w:eastAsia="zh-CN"/>
        </w:rPr>
        <w:t>获取</w:t>
      </w:r>
      <w:r>
        <w:rPr>
          <w:rFonts w:ascii="仿宋" w:hAnsi="仿宋" w:eastAsia="仿宋" w:cs="仿宋"/>
          <w:color w:val="auto"/>
          <w:sz w:val="24"/>
          <w:highlight w:val="none"/>
        </w:rPr>
        <w:t>单位。</w:t>
      </w:r>
      <w:r>
        <w:rPr>
          <w:rFonts w:ascii="仿宋" w:hAnsi="仿宋" w:eastAsia="仿宋" w:cs="仿宋"/>
          <w:b/>
          <w:bCs/>
          <w:color w:val="auto"/>
          <w:sz w:val="24"/>
          <w:highlight w:val="none"/>
        </w:rPr>
        <w:t>【如需纸质招标文件，可自行前去绍兴市越城区稽山街道天姥路5号2幢2楼201室办公室领取。】</w:t>
      </w:r>
    </w:p>
    <w:p w14:paraId="187944B0">
      <w:pPr>
        <w:keepNext w:val="0"/>
        <w:keepLines w:val="0"/>
        <w:pageBreakBefore w:val="0"/>
        <w:widowControl w:val="0"/>
        <w:kinsoku/>
        <w:overflowPunct/>
        <w:autoSpaceDE/>
        <w:bidi w:val="0"/>
        <w:snapToGrid w:val="0"/>
        <w:spacing w:line="440" w:lineRule="exact"/>
        <w:ind w:firstLine="482"/>
        <w:jc w:val="left"/>
        <w:textAlignment w:val="auto"/>
        <w:rPr>
          <w:rFonts w:ascii="仿宋" w:hAnsi="仿宋" w:eastAsia="仿宋" w:cs="仿宋"/>
          <w:color w:val="auto"/>
          <w:sz w:val="24"/>
          <w:highlight w:val="none"/>
          <w:u w:val="single"/>
        </w:rPr>
      </w:pPr>
      <w:r>
        <w:rPr>
          <w:rFonts w:ascii="仿宋" w:hAnsi="仿宋" w:eastAsia="仿宋" w:cs="仿宋"/>
          <w:b/>
          <w:bCs/>
          <w:color w:val="auto"/>
          <w:sz w:val="24"/>
          <w:highlight w:val="none"/>
        </w:rPr>
        <w:t>六、投标截止时间及地点</w:t>
      </w:r>
      <w:r>
        <w:rPr>
          <w:rFonts w:ascii="仿宋" w:hAnsi="仿宋" w:eastAsia="仿宋" w:cs="仿宋"/>
          <w:color w:val="auto"/>
          <w:sz w:val="24"/>
          <w:highlight w:val="none"/>
        </w:rPr>
        <w:t>：投标人应于</w:t>
      </w:r>
      <w:r>
        <w:rPr>
          <w:rFonts w:ascii="仿宋" w:hAnsi="仿宋" w:eastAsia="仿宋" w:cs="仿宋"/>
          <w:color w:val="auto"/>
          <w:sz w:val="24"/>
          <w:highlight w:val="none"/>
          <w:u w:val="single"/>
          <w:lang w:val="en-US" w:eastAsia="zh-CN"/>
        </w:rPr>
        <w:t>2</w:t>
      </w:r>
      <w:r>
        <w:rPr>
          <w:rFonts w:ascii="仿宋" w:hAnsi="仿宋" w:eastAsia="仿宋" w:cs="仿宋"/>
          <w:color w:val="auto"/>
          <w:sz w:val="24"/>
          <w:highlight w:val="none"/>
          <w:u w:val="single"/>
        </w:rPr>
        <w:t>02</w:t>
      </w:r>
      <w:r>
        <w:rPr>
          <w:rFonts w:ascii="仿宋" w:hAnsi="仿宋" w:eastAsia="仿宋" w:cs="仿宋"/>
          <w:color w:val="auto"/>
          <w:sz w:val="24"/>
          <w:highlight w:val="none"/>
          <w:u w:val="single"/>
          <w:lang w:val="en-US" w:eastAsia="zh-CN"/>
        </w:rPr>
        <w:t>5</w:t>
      </w:r>
      <w:r>
        <w:rPr>
          <w:rFonts w:ascii="仿宋" w:hAnsi="仿宋" w:eastAsia="仿宋" w:cs="仿宋"/>
          <w:color w:val="auto"/>
          <w:sz w:val="24"/>
          <w:highlight w:val="none"/>
        </w:rPr>
        <w:t>年</w:t>
      </w:r>
      <w:r>
        <w:rPr>
          <w:rFonts w:ascii="仿宋" w:hAnsi="仿宋" w:eastAsia="仿宋" w:cs="仿宋"/>
          <w:color w:val="auto"/>
          <w:sz w:val="24"/>
          <w:highlight w:val="none"/>
          <w:u w:val="single"/>
          <w:lang w:val="en-US" w:eastAsia="zh-CN"/>
        </w:rPr>
        <w:t xml:space="preserve">    </w:t>
      </w:r>
      <w:r>
        <w:rPr>
          <w:rFonts w:ascii="仿宋" w:hAnsi="仿宋" w:eastAsia="仿宋" w:cs="仿宋"/>
          <w:color w:val="auto"/>
          <w:sz w:val="24"/>
          <w:highlight w:val="none"/>
        </w:rPr>
        <w:t>月</w:t>
      </w:r>
      <w:r>
        <w:rPr>
          <w:rFonts w:ascii="仿宋" w:hAnsi="仿宋" w:eastAsia="仿宋" w:cs="仿宋"/>
          <w:color w:val="auto"/>
          <w:sz w:val="24"/>
          <w:highlight w:val="none"/>
          <w:u w:val="single"/>
          <w:lang w:val="en-US" w:eastAsia="zh-CN"/>
        </w:rPr>
        <w:t xml:space="preserve">    </w:t>
      </w:r>
      <w:r>
        <w:rPr>
          <w:rFonts w:ascii="仿宋" w:hAnsi="仿宋" w:eastAsia="仿宋" w:cs="仿宋"/>
          <w:color w:val="auto"/>
          <w:sz w:val="24"/>
          <w:highlight w:val="none"/>
        </w:rPr>
        <w:t>日</w:t>
      </w:r>
      <w:r>
        <w:rPr>
          <w:rFonts w:ascii="仿宋" w:hAnsi="仿宋" w:eastAsia="仿宋" w:cs="仿宋"/>
          <w:color w:val="auto"/>
          <w:sz w:val="24"/>
          <w:highlight w:val="none"/>
          <w:u w:val="single"/>
        </w:rPr>
        <w:t>14：30</w:t>
      </w:r>
      <w:r>
        <w:rPr>
          <w:rFonts w:ascii="仿宋" w:hAnsi="仿宋" w:eastAsia="仿宋" w:cs="仿宋"/>
          <w:color w:val="auto"/>
          <w:sz w:val="24"/>
          <w:highlight w:val="none"/>
        </w:rPr>
        <w:t>时整以前将投标文件密封送交到浙江泛亚工程咨询有限公司（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）会议室，逾期送达作无效投标处理。</w:t>
      </w:r>
    </w:p>
    <w:p w14:paraId="5FEE5696">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七、开标时间及地点</w:t>
      </w:r>
      <w:r>
        <w:rPr>
          <w:rFonts w:ascii="仿宋" w:hAnsi="仿宋" w:eastAsia="仿宋" w:cs="仿宋"/>
          <w:color w:val="auto"/>
          <w:sz w:val="24"/>
          <w:highlight w:val="none"/>
        </w:rPr>
        <w:t>：投标人应于</w:t>
      </w:r>
      <w:r>
        <w:rPr>
          <w:rFonts w:ascii="仿宋" w:hAnsi="仿宋" w:eastAsia="仿宋" w:cs="仿宋"/>
          <w:color w:val="auto"/>
          <w:sz w:val="24"/>
          <w:highlight w:val="none"/>
          <w:u w:val="single"/>
        </w:rPr>
        <w:t>202</w:t>
      </w:r>
      <w:r>
        <w:rPr>
          <w:rFonts w:ascii="仿宋" w:hAnsi="仿宋" w:eastAsia="仿宋" w:cs="仿宋"/>
          <w:color w:val="auto"/>
          <w:sz w:val="24"/>
          <w:highlight w:val="none"/>
          <w:u w:val="single"/>
          <w:lang w:val="en-US" w:eastAsia="zh-CN"/>
        </w:rPr>
        <w:t>5</w:t>
      </w:r>
      <w:r>
        <w:rPr>
          <w:rFonts w:ascii="仿宋" w:hAnsi="仿宋" w:eastAsia="仿宋" w:cs="仿宋"/>
          <w:color w:val="auto"/>
          <w:sz w:val="24"/>
          <w:highlight w:val="none"/>
        </w:rPr>
        <w:t>年</w:t>
      </w:r>
      <w:r>
        <w:rPr>
          <w:rFonts w:ascii="仿宋" w:hAnsi="仿宋" w:eastAsia="仿宋" w:cs="仿宋"/>
          <w:color w:val="auto"/>
          <w:sz w:val="24"/>
          <w:highlight w:val="none"/>
          <w:u w:val="single"/>
          <w:lang w:val="en-US" w:eastAsia="zh-CN"/>
        </w:rPr>
        <w:t xml:space="preserve">    </w:t>
      </w:r>
      <w:r>
        <w:rPr>
          <w:rFonts w:ascii="仿宋" w:hAnsi="仿宋" w:eastAsia="仿宋" w:cs="仿宋"/>
          <w:color w:val="auto"/>
          <w:sz w:val="24"/>
          <w:highlight w:val="none"/>
        </w:rPr>
        <w:t>月</w:t>
      </w:r>
      <w:r>
        <w:rPr>
          <w:rFonts w:ascii="仿宋" w:hAnsi="仿宋" w:eastAsia="仿宋" w:cs="仿宋"/>
          <w:color w:val="auto"/>
          <w:sz w:val="24"/>
          <w:highlight w:val="none"/>
          <w:u w:val="single"/>
          <w:lang w:val="en-US" w:eastAsia="zh-CN"/>
        </w:rPr>
        <w:t xml:space="preserve">    </w:t>
      </w:r>
      <w:r>
        <w:rPr>
          <w:rFonts w:ascii="仿宋" w:hAnsi="仿宋" w:eastAsia="仿宋" w:cs="仿宋"/>
          <w:color w:val="auto"/>
          <w:sz w:val="24"/>
          <w:highlight w:val="none"/>
        </w:rPr>
        <w:t>日</w:t>
      </w:r>
      <w:r>
        <w:rPr>
          <w:rFonts w:ascii="仿宋" w:hAnsi="仿宋" w:eastAsia="仿宋" w:cs="仿宋"/>
          <w:color w:val="auto"/>
          <w:sz w:val="24"/>
          <w:highlight w:val="none"/>
          <w:u w:val="single"/>
        </w:rPr>
        <w:t>14：30</w:t>
      </w:r>
      <w:r>
        <w:rPr>
          <w:rFonts w:ascii="仿宋" w:hAnsi="仿宋" w:eastAsia="仿宋" w:cs="仿宋"/>
          <w:color w:val="auto"/>
          <w:sz w:val="24"/>
          <w:highlight w:val="none"/>
        </w:rPr>
        <w:t>时整在浙江泛亚工程咨询有限公司（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）会议室开标。</w:t>
      </w:r>
    </w:p>
    <w:p w14:paraId="50DFF7A0">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八、招标公告发布：</w:t>
      </w:r>
      <w:r>
        <w:rPr>
          <w:color w:val="auto"/>
          <w:highlight w:val="none"/>
        </w:rPr>
        <w:fldChar w:fldCharType="begin"/>
      </w:r>
      <w:r>
        <w:rPr>
          <w:color w:val="auto"/>
          <w:highlight w:val="none"/>
        </w:rPr>
        <w:instrText xml:space="preserve"> HYPERLINK "" \h </w:instrText>
      </w:r>
      <w:r>
        <w:rPr>
          <w:color w:val="auto"/>
          <w:highlight w:val="none"/>
        </w:rPr>
        <w:fldChar w:fldCharType="separate"/>
      </w:r>
      <w:r>
        <w:rPr>
          <w:rStyle w:val="22"/>
          <w:rFonts w:ascii="仿宋" w:hAnsi="仿宋" w:eastAsia="仿宋" w:cs="仿宋"/>
          <w:color w:val="auto"/>
          <w:sz w:val="24"/>
          <w:highlight w:val="none"/>
        </w:rPr>
        <w:t>https://zfcg.czt.zj.gov.cn</w:t>
      </w:r>
      <w:r>
        <w:rPr>
          <w:rStyle w:val="22"/>
          <w:rFonts w:ascii="仿宋" w:hAnsi="仿宋" w:eastAsia="仿宋" w:cs="仿宋"/>
          <w:color w:val="auto"/>
          <w:sz w:val="24"/>
          <w:highlight w:val="none"/>
          <w:lang w:val="en-US" w:eastAsia="zh-CN"/>
        </w:rPr>
        <w:t>和</w:t>
      </w:r>
      <w:r>
        <w:rPr>
          <w:rStyle w:val="22"/>
          <w:rFonts w:ascii="仿宋" w:hAnsi="仿宋" w:eastAsia="仿宋" w:cs="仿宋"/>
          <w:color w:val="auto"/>
          <w:sz w:val="24"/>
          <w:highlight w:val="none"/>
        </w:rPr>
        <w:t>www.sxdqyy.com</w:t>
      </w:r>
      <w:r>
        <w:rPr>
          <w:rStyle w:val="22"/>
          <w:rFonts w:ascii="仿宋" w:hAnsi="仿宋" w:eastAsia="仿宋" w:cs="仿宋"/>
          <w:color w:val="auto"/>
          <w:sz w:val="24"/>
          <w:highlight w:val="none"/>
        </w:rPr>
        <w:fldChar w:fldCharType="end"/>
      </w:r>
    </w:p>
    <w:p w14:paraId="58A44BD4">
      <w:pPr>
        <w:keepNext w:val="0"/>
        <w:keepLines w:val="0"/>
        <w:pageBreakBefore w:val="0"/>
        <w:widowControl w:val="0"/>
        <w:kinsoku/>
        <w:overflowPunct/>
        <w:autoSpaceDE/>
        <w:bidi w:val="0"/>
        <w:spacing w:line="440" w:lineRule="exact"/>
        <w:ind w:firstLine="482"/>
        <w:textAlignment w:val="auto"/>
        <w:rPr>
          <w:rFonts w:ascii="仿宋" w:hAnsi="仿宋" w:eastAsia="仿宋" w:cs="仿宋"/>
          <w:b/>
          <w:bCs/>
          <w:color w:val="auto"/>
          <w:sz w:val="24"/>
          <w:highlight w:val="none"/>
        </w:rPr>
      </w:pPr>
      <w:r>
        <w:rPr>
          <w:rFonts w:ascii="仿宋" w:hAnsi="仿宋" w:eastAsia="仿宋" w:cs="仿宋"/>
          <w:b/>
          <w:bCs/>
          <w:color w:val="auto"/>
          <w:sz w:val="24"/>
          <w:highlight w:val="none"/>
        </w:rPr>
        <w:t>九、投标与开标注意事项：</w:t>
      </w:r>
    </w:p>
    <w:p w14:paraId="7BD5B225">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本项目投标采用以下方式：</w:t>
      </w:r>
    </w:p>
    <w:p w14:paraId="7521DC4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w:t>
      </w:r>
      <w:r>
        <w:rPr>
          <w:rFonts w:ascii="仿宋" w:hAnsi="仿宋" w:eastAsia="仿宋" w:cs="仿宋"/>
          <w:color w:val="auto"/>
          <w:sz w:val="24"/>
          <w:highlight w:val="none"/>
        </w:rPr>
        <w:t>本项目投标文件允许供应商通过邮寄快递方式送达（建议可采用EMS或顺丰快递。邮编：312000，地址：浙江泛亚工程咨询有限公司（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），签收人：</w:t>
      </w:r>
      <w:r>
        <w:rPr>
          <w:rFonts w:ascii="仿宋" w:hAnsi="仿宋" w:eastAsia="仿宋" w:cs="仿宋"/>
          <w:color w:val="auto"/>
          <w:sz w:val="24"/>
          <w:highlight w:val="none"/>
          <w:lang w:val="en-US" w:eastAsia="zh-CN"/>
        </w:rPr>
        <w:t>金颖</w:t>
      </w:r>
      <w:r>
        <w:rPr>
          <w:rFonts w:ascii="仿宋" w:hAnsi="仿宋" w:eastAsia="仿宋" w:cs="仿宋"/>
          <w:color w:val="auto"/>
          <w:sz w:val="24"/>
          <w:highlight w:val="none"/>
        </w:rPr>
        <w:t>，联系电话：</w:t>
      </w:r>
      <w:r>
        <w:rPr>
          <w:rFonts w:ascii="仿宋" w:hAnsi="仿宋" w:eastAsia="仿宋" w:cs="仿宋"/>
          <w:color w:val="auto"/>
          <w:sz w:val="24"/>
          <w:highlight w:val="none"/>
          <w:lang w:val="en-US" w:eastAsia="zh-CN"/>
        </w:rPr>
        <w:t>15967581709</w:t>
      </w:r>
      <w:r>
        <w:rPr>
          <w:rFonts w:ascii="仿宋" w:hAnsi="仿宋" w:eastAsia="仿宋" w:cs="仿宋"/>
          <w:color w:val="auto"/>
          <w:sz w:val="24"/>
          <w:highlight w:val="none"/>
        </w:rPr>
        <w:t>）。并请充分考虑快递在途时间，以确保在投标截止时间前送达。投标文件递交的时间以招标采购代理机构签收时间为准，除邮寄外包装外，投标文件仍需要按采购文件要求封包，但在邮寄过程中发生的包封缺损或保管过程中发生的一切事宜均由供应商自行承担。</w:t>
      </w:r>
    </w:p>
    <w:p w14:paraId="6E36266D">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特别提醒：请各供应商确保密封包装在邮寄过程密封包装完好，因邮寄过程的密封破损造成不符合开标要求的，本项目招标采购代理机构及采购人概不负责。建议投标文件包装后邮寄时再进行外包装。供应商应对邮寄快递投标文件的完整性、密封性负责。邮包外包装应注明供应商名称和联系人手机号码，以便代理机构在收到邮包后第一时间与寄包人取得联系，否则不清楚邮包来源。</w:t>
      </w:r>
    </w:p>
    <w:p w14:paraId="0D5E7CE0">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2</w:t>
      </w:r>
      <w:r>
        <w:rPr>
          <w:rFonts w:ascii="仿宋" w:hAnsi="仿宋" w:eastAsia="仿宋" w:cs="仿宋"/>
          <w:color w:val="auto"/>
          <w:sz w:val="24"/>
          <w:highlight w:val="none"/>
          <w:lang w:eastAsia="zh-CN"/>
        </w:rPr>
        <w:t>、</w:t>
      </w:r>
      <w:r>
        <w:rPr>
          <w:rFonts w:ascii="仿宋" w:hAnsi="仿宋" w:eastAsia="仿宋" w:cs="仿宋"/>
          <w:color w:val="auto"/>
          <w:sz w:val="24"/>
          <w:highlight w:val="none"/>
        </w:rPr>
        <w:t>同时允许供应商现场送达（即交即走）的方式，在投标截至时间前将投标文件递交至浙江泛亚工程咨询有限公司（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w:t>
      </w:r>
    </w:p>
    <w:p w14:paraId="4B4100E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3</w:t>
      </w:r>
      <w:r>
        <w:rPr>
          <w:rFonts w:ascii="仿宋" w:hAnsi="仿宋" w:eastAsia="仿宋" w:cs="仿宋"/>
          <w:color w:val="auto"/>
          <w:sz w:val="24"/>
          <w:highlight w:val="none"/>
          <w:lang w:eastAsia="zh-CN"/>
        </w:rPr>
        <w:t>、</w:t>
      </w:r>
      <w:r>
        <w:rPr>
          <w:rFonts w:ascii="仿宋" w:hAnsi="仿宋" w:eastAsia="仿宋" w:cs="仿宋"/>
          <w:color w:val="auto"/>
          <w:sz w:val="24"/>
          <w:highlight w:val="none"/>
        </w:rPr>
        <w:t>供应商的法定代表人或授权代表等均可不参加开标会议。若供应商法定代表人或授权代表不在现场参加开标会议的，取消开标现场的书面签字确认等有关操作要求，供应商需向招标采购代理机构工作人员告知其联系方式，以备询标等事宜。</w:t>
      </w:r>
    </w:p>
    <w:p w14:paraId="0E0C86ED">
      <w:pPr>
        <w:keepNext w:val="0"/>
        <w:keepLines w:val="0"/>
        <w:pageBreakBefore w:val="0"/>
        <w:widowControl w:val="0"/>
        <w:kinsoku/>
        <w:overflowPunct/>
        <w:autoSpaceDE/>
        <w:bidi w:val="0"/>
        <w:spacing w:line="440" w:lineRule="exact"/>
        <w:ind w:firstLine="480"/>
        <w:textAlignment w:val="auto"/>
        <w:rPr>
          <w:rFonts w:ascii="仿宋" w:hAnsi="仿宋" w:eastAsia="仿宋" w:cs="仿宋"/>
          <w:b/>
          <w:bCs/>
          <w:color w:val="auto"/>
          <w:sz w:val="24"/>
          <w:highlight w:val="none"/>
        </w:rPr>
      </w:pPr>
      <w:r>
        <w:rPr>
          <w:rFonts w:ascii="仿宋" w:hAnsi="仿宋" w:eastAsia="仿宋" w:cs="仿宋"/>
          <w:b w:val="0"/>
          <w:bCs w:val="0"/>
          <w:color w:val="auto"/>
          <w:sz w:val="24"/>
          <w:highlight w:val="none"/>
        </w:rPr>
        <w:t>4</w:t>
      </w:r>
      <w:r>
        <w:rPr>
          <w:rFonts w:ascii="仿宋" w:hAnsi="仿宋" w:eastAsia="仿宋" w:cs="仿宋"/>
          <w:b w:val="0"/>
          <w:bCs w:val="0"/>
          <w:color w:val="auto"/>
          <w:sz w:val="24"/>
          <w:highlight w:val="none"/>
          <w:lang w:eastAsia="zh-CN"/>
        </w:rPr>
        <w:t>、</w:t>
      </w:r>
      <w:r>
        <w:rPr>
          <w:rFonts w:ascii="仿宋" w:hAnsi="仿宋" w:eastAsia="仿宋" w:cs="仿宋"/>
          <w:b w:val="0"/>
          <w:bCs w:val="0"/>
          <w:color w:val="auto"/>
          <w:sz w:val="24"/>
          <w:highlight w:val="none"/>
        </w:rPr>
        <w:t>本项目采购文件内对开标现场原件核验不作要求，采购人有权在评标结束后对中标候选人进行原件核验。供应商对所提供的全部资料的真实性承担法律责任。</w:t>
      </w:r>
    </w:p>
    <w:p w14:paraId="14DD02DB">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十、联系方式：</w:t>
      </w:r>
    </w:p>
    <w:p w14:paraId="6C1F345F">
      <w:pPr>
        <w:keepNext w:val="0"/>
        <w:keepLines w:val="0"/>
        <w:pageBreakBefore w:val="0"/>
        <w:widowControl w:val="0"/>
        <w:kinsoku/>
        <w:overflowPunct/>
        <w:autoSpaceDE/>
        <w:bidi w:val="0"/>
        <w:spacing w:line="440" w:lineRule="exact"/>
        <w:ind w:firstLine="470"/>
        <w:textAlignment w:val="auto"/>
        <w:rPr>
          <w:rFonts w:ascii="仿宋" w:hAnsi="仿宋" w:eastAsia="仿宋" w:cs="仿宋"/>
          <w:i w:val="0"/>
          <w:iCs w:val="0"/>
          <w:color w:val="auto"/>
          <w:sz w:val="24"/>
          <w:highlight w:val="none"/>
          <w:lang w:val="en-US" w:eastAsia="zh-CN"/>
        </w:rPr>
      </w:pPr>
      <w:r>
        <w:rPr>
          <w:rFonts w:ascii="仿宋" w:hAnsi="仿宋" w:eastAsia="仿宋" w:cs="仿宋"/>
          <w:color w:val="auto"/>
          <w:sz w:val="24"/>
          <w:highlight w:val="none"/>
        </w:rPr>
        <w:t>1、</w:t>
      </w:r>
      <w:r>
        <w:rPr>
          <w:rFonts w:ascii="仿宋" w:hAnsi="仿宋" w:eastAsia="仿宋" w:cs="仿宋"/>
          <w:i w:val="0"/>
          <w:iCs w:val="0"/>
          <w:color w:val="auto"/>
          <w:sz w:val="24"/>
          <w:highlight w:val="none"/>
        </w:rPr>
        <w:t>采购人：</w:t>
      </w:r>
      <w:r>
        <w:rPr>
          <w:rFonts w:ascii="仿宋" w:hAnsi="仿宋" w:eastAsia="仿宋" w:cs="仿宋"/>
          <w:i w:val="0"/>
          <w:iCs w:val="0"/>
          <w:color w:val="auto"/>
          <w:sz w:val="24"/>
          <w:highlight w:val="none"/>
          <w:lang w:val="en-US" w:eastAsia="zh-CN"/>
        </w:rPr>
        <w:t>绍兴市第七人民医院，唐亮，0575-85397715</w:t>
      </w:r>
    </w:p>
    <w:p w14:paraId="1C4BE4B5">
      <w:pPr>
        <w:keepNext w:val="0"/>
        <w:keepLines w:val="0"/>
        <w:pageBreakBefore w:val="0"/>
        <w:widowControl w:val="0"/>
        <w:kinsoku/>
        <w:overflowPunct/>
        <w:autoSpaceDE/>
        <w:bidi w:val="0"/>
        <w:spacing w:line="440" w:lineRule="exact"/>
        <w:ind w:firstLine="470"/>
        <w:textAlignment w:val="auto"/>
        <w:rPr>
          <w:rFonts w:hint="default"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rPr>
        <w:t>2、</w:t>
      </w:r>
      <w:r>
        <w:rPr>
          <w:rFonts w:ascii="仿宋" w:hAnsi="仿宋" w:eastAsia="仿宋" w:cs="仿宋"/>
          <w:i w:val="0"/>
          <w:iCs w:val="0"/>
          <w:color w:val="auto"/>
          <w:sz w:val="24"/>
          <w:highlight w:val="none"/>
        </w:rPr>
        <w:tab/>
      </w:r>
      <w:r>
        <w:rPr>
          <w:rFonts w:ascii="仿宋" w:hAnsi="仿宋" w:eastAsia="仿宋" w:cs="仿宋"/>
          <w:i w:val="0"/>
          <w:iCs w:val="0"/>
          <w:color w:val="auto"/>
          <w:sz w:val="24"/>
          <w:highlight w:val="none"/>
        </w:rPr>
        <w:t>采购代理机构：</w:t>
      </w:r>
      <w:r>
        <w:rPr>
          <w:rFonts w:ascii="仿宋_GB2312;仿宋" w:hAnsi="仿宋_GB2312;仿宋" w:eastAsia="仿宋_GB2312;仿宋" w:cs="仿宋_GB2312;仿宋"/>
          <w:color w:val="auto"/>
          <w:sz w:val="24"/>
          <w:highlight w:val="none"/>
        </w:rPr>
        <w:t>浙江泛亚工程咨询有限公司</w:t>
      </w:r>
      <w:r>
        <w:rPr>
          <w:rFonts w:ascii="仿宋" w:hAnsi="仿宋" w:eastAsia="仿宋" w:cs="仿宋"/>
          <w:i w:val="0"/>
          <w:iCs w:val="0"/>
          <w:color w:val="auto"/>
          <w:sz w:val="24"/>
          <w:highlight w:val="none"/>
        </w:rPr>
        <w:t>，</w:t>
      </w:r>
      <w:r>
        <w:rPr>
          <w:rFonts w:ascii="仿宋" w:hAnsi="仿宋" w:eastAsia="仿宋" w:cs="仿宋"/>
          <w:i w:val="0"/>
          <w:iCs w:val="0"/>
          <w:color w:val="auto"/>
          <w:sz w:val="24"/>
          <w:highlight w:val="none"/>
          <w:lang w:val="en-US" w:eastAsia="zh-CN"/>
        </w:rPr>
        <w:t>王伟、</w:t>
      </w:r>
      <w:r>
        <w:rPr>
          <w:rFonts w:hint="eastAsia" w:ascii="仿宋" w:hAnsi="仿宋" w:eastAsia="仿宋" w:cs="仿宋"/>
          <w:i w:val="0"/>
          <w:iCs w:val="0"/>
          <w:color w:val="auto"/>
          <w:sz w:val="24"/>
          <w:highlight w:val="none"/>
          <w:lang w:val="en-US" w:eastAsia="zh-CN"/>
        </w:rPr>
        <w:t>卢小清</w:t>
      </w:r>
      <w:r>
        <w:rPr>
          <w:rFonts w:ascii="仿宋" w:hAnsi="仿宋" w:eastAsia="仿宋" w:cs="仿宋"/>
          <w:i w:val="0"/>
          <w:iCs w:val="0"/>
          <w:color w:val="auto"/>
          <w:sz w:val="24"/>
          <w:highlight w:val="none"/>
        </w:rPr>
        <w:t>，</w:t>
      </w:r>
      <w:r>
        <w:rPr>
          <w:rFonts w:ascii="仿宋" w:hAnsi="仿宋" w:eastAsia="仿宋" w:cs="仿宋"/>
          <w:i w:val="0"/>
          <w:iCs w:val="0"/>
          <w:color w:val="auto"/>
          <w:sz w:val="24"/>
          <w:highlight w:val="none"/>
          <w:lang w:val="en-US" w:eastAsia="zh-CN"/>
        </w:rPr>
        <w:t>13858435067</w:t>
      </w:r>
      <w:r>
        <w:rPr>
          <w:rFonts w:hint="eastAsia" w:ascii="仿宋" w:hAnsi="仿宋" w:eastAsia="仿宋" w:cs="仿宋"/>
          <w:i w:val="0"/>
          <w:iCs w:val="0"/>
          <w:color w:val="auto"/>
          <w:sz w:val="24"/>
          <w:highlight w:val="none"/>
          <w:lang w:val="en-US" w:eastAsia="zh-CN"/>
        </w:rPr>
        <w:t>、15967581709</w:t>
      </w:r>
    </w:p>
    <w:p w14:paraId="015DD16D">
      <w:pPr>
        <w:keepNext w:val="0"/>
        <w:keepLines w:val="0"/>
        <w:pageBreakBefore w:val="0"/>
        <w:widowControl w:val="0"/>
        <w:kinsoku/>
        <w:overflowPunct/>
        <w:autoSpaceDE/>
        <w:bidi w:val="0"/>
        <w:spacing w:line="440" w:lineRule="exact"/>
        <w:ind w:firstLine="470"/>
        <w:textAlignment w:val="auto"/>
        <w:rPr>
          <w:rFonts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lang w:val="en-US" w:eastAsia="zh-CN"/>
        </w:rPr>
        <w:t>3、监督部门：绍兴市第七人民医院纪检监察室，任雪英，0575-85397800</w:t>
      </w:r>
    </w:p>
    <w:p w14:paraId="1FEC6923">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　</w:t>
      </w:r>
    </w:p>
    <w:p w14:paraId="26CB78A6">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绍兴市第七人民医院</w:t>
      </w:r>
    </w:p>
    <w:p w14:paraId="2AC8D113">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浙江泛亚工程咨询有限公司</w:t>
      </w:r>
    </w:p>
    <w:p w14:paraId="0B768BC0">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202</w:t>
      </w:r>
      <w:r>
        <w:rPr>
          <w:rFonts w:ascii="仿宋" w:hAnsi="仿宋" w:eastAsia="仿宋" w:cs="仿宋"/>
          <w:color w:val="auto"/>
          <w:sz w:val="24"/>
          <w:highlight w:val="none"/>
          <w:lang w:val="en-US" w:eastAsia="zh-CN"/>
        </w:rPr>
        <w:t>5</w:t>
      </w:r>
      <w:r>
        <w:rPr>
          <w:rFonts w:ascii="仿宋" w:hAnsi="仿宋" w:eastAsia="仿宋" w:cs="仿宋"/>
          <w:color w:val="auto"/>
          <w:sz w:val="24"/>
          <w:highlight w:val="none"/>
        </w:rPr>
        <w:t>年</w:t>
      </w:r>
      <w:r>
        <w:rPr>
          <w:rFonts w:ascii="仿宋" w:hAnsi="仿宋" w:eastAsia="仿宋" w:cs="仿宋"/>
          <w:color w:val="auto"/>
          <w:sz w:val="24"/>
          <w:highlight w:val="none"/>
          <w:lang w:val="en-US" w:eastAsia="zh-CN"/>
        </w:rPr>
        <w:t xml:space="preserve">  </w:t>
      </w:r>
      <w:r>
        <w:rPr>
          <w:rFonts w:ascii="仿宋" w:hAnsi="仿宋" w:eastAsia="仿宋" w:cs="仿宋"/>
          <w:color w:val="auto"/>
          <w:sz w:val="24"/>
          <w:highlight w:val="none"/>
        </w:rPr>
        <w:t>月</w:t>
      </w:r>
      <w:r>
        <w:rPr>
          <w:rFonts w:ascii="仿宋" w:hAnsi="仿宋" w:eastAsia="仿宋" w:cs="仿宋"/>
          <w:color w:val="auto"/>
          <w:sz w:val="24"/>
          <w:highlight w:val="none"/>
          <w:lang w:val="en-US" w:eastAsia="zh-CN"/>
        </w:rPr>
        <w:t xml:space="preserve">  </w:t>
      </w:r>
      <w:r>
        <w:rPr>
          <w:rFonts w:ascii="仿宋" w:hAnsi="仿宋" w:eastAsia="仿宋" w:cs="仿宋"/>
          <w:color w:val="auto"/>
          <w:sz w:val="24"/>
          <w:highlight w:val="none"/>
        </w:rPr>
        <w:t>日</w:t>
      </w:r>
    </w:p>
    <w:p w14:paraId="5CB5C15F">
      <w:pPr>
        <w:spacing w:line="288" w:lineRule="auto"/>
        <w:jc w:val="both"/>
        <w:rPr>
          <w:rFonts w:ascii="仿宋" w:hAnsi="仿宋" w:eastAsia="仿宋" w:cs="仿宋"/>
          <w:b/>
          <w:color w:val="auto"/>
          <w:sz w:val="36"/>
          <w:szCs w:val="36"/>
          <w:highlight w:val="none"/>
        </w:rPr>
      </w:pPr>
      <w:r>
        <w:rPr>
          <w:color w:val="auto"/>
          <w:highlight w:val="none"/>
        </w:rPr>
        <w:br w:type="page"/>
      </w:r>
    </w:p>
    <w:p w14:paraId="1E2FC660">
      <w:pPr>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第二部分 投标人须知</w:t>
      </w:r>
    </w:p>
    <w:p w14:paraId="468B2264">
      <w:pPr>
        <w:spacing w:line="288" w:lineRule="auto"/>
        <w:ind w:left="238" w:firstLine="0"/>
        <w:jc w:val="center"/>
        <w:rPr>
          <w:rFonts w:cs="仿宋"/>
          <w:color w:val="auto"/>
          <w:highlight w:val="none"/>
        </w:rPr>
      </w:pPr>
      <w:r>
        <w:rPr>
          <w:rFonts w:ascii="仿宋" w:hAnsi="仿宋" w:eastAsia="仿宋" w:cs="仿宋"/>
          <w:b/>
          <w:color w:val="auto"/>
          <w:sz w:val="30"/>
          <w:szCs w:val="36"/>
          <w:highlight w:val="none"/>
        </w:rPr>
        <w:t>前附表</w:t>
      </w:r>
    </w:p>
    <w:tbl>
      <w:tblPr>
        <w:tblStyle w:val="17"/>
        <w:tblW w:w="9250" w:type="dxa"/>
        <w:tblInd w:w="-5" w:type="dxa"/>
        <w:tblLayout w:type="fixed"/>
        <w:tblCellMar>
          <w:top w:w="0" w:type="dxa"/>
          <w:left w:w="108" w:type="dxa"/>
          <w:bottom w:w="0" w:type="dxa"/>
          <w:right w:w="108" w:type="dxa"/>
        </w:tblCellMar>
      </w:tblPr>
      <w:tblGrid>
        <w:gridCol w:w="869"/>
        <w:gridCol w:w="2401"/>
        <w:gridCol w:w="5980"/>
      </w:tblGrid>
      <w:tr w14:paraId="622E0112">
        <w:tblPrEx>
          <w:tblCellMar>
            <w:top w:w="0" w:type="dxa"/>
            <w:left w:w="108" w:type="dxa"/>
            <w:bottom w:w="0" w:type="dxa"/>
            <w:right w:w="108" w:type="dxa"/>
          </w:tblCellMar>
        </w:tblPrEx>
        <w:trPr>
          <w:trHeight w:val="496"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19122FD6">
            <w:pPr>
              <w:keepNext w:val="0"/>
              <w:keepLines w:val="0"/>
              <w:suppressLineNumbers w:val="0"/>
              <w:spacing w:before="120" w:beforeAutospacing="0" w:after="72"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序号</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1B4C571C">
            <w:pPr>
              <w:keepNext w:val="0"/>
              <w:keepLines w:val="0"/>
              <w:suppressLineNumbers w:val="0"/>
              <w:spacing w:before="120" w:beforeAutospacing="0" w:after="72"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内　　　　容</w:t>
            </w:r>
          </w:p>
        </w:tc>
      </w:tr>
      <w:tr w14:paraId="7F6CB9D2">
        <w:tblPrEx>
          <w:tblCellMar>
            <w:top w:w="0" w:type="dxa"/>
            <w:left w:w="108" w:type="dxa"/>
            <w:bottom w:w="0" w:type="dxa"/>
            <w:right w:w="108" w:type="dxa"/>
          </w:tblCellMar>
        </w:tblPrEx>
        <w:trPr>
          <w:trHeight w:val="897"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C963A2A">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6725422">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lang w:eastAsia="zh-CN"/>
              </w:rPr>
            </w:pPr>
            <w:r>
              <w:rPr>
                <w:rFonts w:hint="default" w:ascii="仿宋" w:hAnsi="仿宋" w:eastAsia="仿宋" w:cs="仿宋"/>
                <w:b/>
                <w:color w:val="auto"/>
                <w:sz w:val="24"/>
                <w:highlight w:val="none"/>
              </w:rPr>
              <w:t>项目名称</w:t>
            </w:r>
            <w:r>
              <w:rPr>
                <w:rFonts w:hint="default" w:ascii="仿宋" w:hAnsi="仿宋" w:eastAsia="仿宋" w:cs="仿宋"/>
                <w:color w:val="auto"/>
                <w:sz w:val="24"/>
                <w:highlight w:val="none"/>
              </w:rPr>
              <w:t>：</w:t>
            </w:r>
            <w:r>
              <w:rPr>
                <w:rFonts w:hint="default" w:ascii="仿宋" w:hAnsi="仿宋" w:eastAsia="仿宋" w:cs="仿宋"/>
                <w:color w:val="auto"/>
                <w:sz w:val="24"/>
                <w:highlight w:val="none"/>
                <w:lang w:eastAsia="zh-CN"/>
              </w:rPr>
              <w:t>绍兴市第七人民医院智慧消防项目</w:t>
            </w:r>
          </w:p>
          <w:p w14:paraId="7DD59902">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b/>
                <w:color w:val="auto"/>
                <w:sz w:val="24"/>
                <w:highlight w:val="none"/>
              </w:rPr>
              <w:t>项目的实施规模、范围：</w:t>
            </w:r>
            <w:r>
              <w:rPr>
                <w:rFonts w:hint="default" w:ascii="仿宋" w:hAnsi="仿宋" w:eastAsia="仿宋" w:cs="仿宋"/>
                <w:color w:val="auto"/>
                <w:sz w:val="24"/>
                <w:highlight w:val="none"/>
              </w:rPr>
              <w:t>详见招标文件。</w:t>
            </w:r>
          </w:p>
        </w:tc>
      </w:tr>
      <w:tr w14:paraId="523E8211">
        <w:tblPrEx>
          <w:tblCellMar>
            <w:top w:w="0" w:type="dxa"/>
            <w:left w:w="108" w:type="dxa"/>
            <w:bottom w:w="0" w:type="dxa"/>
            <w:right w:w="108" w:type="dxa"/>
          </w:tblCellMar>
        </w:tblPrEx>
        <w:trPr>
          <w:trHeight w:val="934"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523B8822">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2</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438EA15B">
            <w:pPr>
              <w:keepNext w:val="0"/>
              <w:keepLines w:val="0"/>
              <w:suppressLineNumbers w:val="0"/>
              <w:autoSpaceDE w:val="0"/>
              <w:spacing w:before="0" w:beforeAutospacing="0" w:after="0" w:afterAutospacing="0" w:line="288" w:lineRule="auto"/>
              <w:ind w:left="0" w:right="0"/>
              <w:textAlignment w:val="bottom"/>
              <w:rPr>
                <w:rFonts w:hint="default" w:ascii="仿宋" w:hAnsi="仿宋" w:eastAsia="仿宋" w:cs="仿宋"/>
                <w:color w:val="auto"/>
                <w:sz w:val="24"/>
                <w:highlight w:val="none"/>
              </w:rPr>
            </w:pPr>
            <w:r>
              <w:rPr>
                <w:rFonts w:hint="default" w:ascii="仿宋" w:hAnsi="仿宋" w:eastAsia="仿宋" w:cs="仿宋"/>
                <w:b/>
                <w:color w:val="auto"/>
                <w:sz w:val="24"/>
                <w:highlight w:val="none"/>
              </w:rPr>
              <w:t>投标有效期：</w:t>
            </w:r>
            <w:r>
              <w:rPr>
                <w:rFonts w:hint="default" w:ascii="仿宋" w:hAnsi="仿宋" w:eastAsia="仿宋" w:cs="仿宋"/>
                <w:color w:val="auto"/>
                <w:sz w:val="24"/>
                <w:highlight w:val="none"/>
              </w:rPr>
              <w:t>自投标截止日起45天。如采购人认为必要，可延长至总计最长不超过60天。</w:t>
            </w:r>
          </w:p>
        </w:tc>
      </w:tr>
      <w:tr w14:paraId="604DC660">
        <w:tblPrEx>
          <w:tblCellMar>
            <w:top w:w="0" w:type="dxa"/>
            <w:left w:w="108" w:type="dxa"/>
            <w:bottom w:w="0" w:type="dxa"/>
            <w:right w:w="108" w:type="dxa"/>
          </w:tblCellMar>
        </w:tblPrEx>
        <w:trPr>
          <w:trHeight w:val="574"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C4BF9F0">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3</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5A63B56">
            <w:pPr>
              <w:keepNext w:val="0"/>
              <w:keepLines w:val="0"/>
              <w:suppressLineNumbers w:val="0"/>
              <w:autoSpaceDE w:val="0"/>
              <w:spacing w:before="0" w:beforeAutospacing="0" w:after="0" w:afterAutospacing="0" w:line="288" w:lineRule="auto"/>
              <w:ind w:left="0" w:right="0"/>
              <w:textAlignment w:val="bottom"/>
              <w:rPr>
                <w:rFonts w:hint="default" w:ascii="仿宋" w:hAnsi="仿宋" w:eastAsia="仿宋" w:cs="仿宋"/>
                <w:color w:val="auto"/>
                <w:sz w:val="24"/>
                <w:highlight w:val="none"/>
              </w:rPr>
            </w:pPr>
            <w:r>
              <w:rPr>
                <w:rFonts w:hint="default" w:ascii="仿宋" w:hAnsi="仿宋" w:eastAsia="仿宋" w:cs="仿宋"/>
                <w:b/>
                <w:color w:val="auto"/>
                <w:sz w:val="24"/>
                <w:highlight w:val="none"/>
              </w:rPr>
              <w:t>投标保证金金额：</w:t>
            </w:r>
            <w:r>
              <w:rPr>
                <w:rFonts w:hint="default" w:ascii="仿宋" w:hAnsi="仿宋" w:eastAsia="仿宋" w:cs="仿宋"/>
                <w:bCs/>
                <w:color w:val="auto"/>
                <w:sz w:val="24"/>
                <w:highlight w:val="none"/>
              </w:rPr>
              <w:t>无</w:t>
            </w:r>
          </w:p>
        </w:tc>
      </w:tr>
      <w:tr w14:paraId="6B415B51">
        <w:tblPrEx>
          <w:tblCellMar>
            <w:top w:w="0" w:type="dxa"/>
            <w:left w:w="108" w:type="dxa"/>
            <w:bottom w:w="0" w:type="dxa"/>
            <w:right w:w="108" w:type="dxa"/>
          </w:tblCellMar>
        </w:tblPrEx>
        <w:trPr>
          <w:trHeight w:val="510"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001C5F1E">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4</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75A4309C">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b/>
                <w:color w:val="auto"/>
                <w:sz w:val="24"/>
                <w:highlight w:val="none"/>
              </w:rPr>
              <w:t>投标文件份数：</w:t>
            </w:r>
            <w:r>
              <w:rPr>
                <w:rFonts w:hint="default" w:ascii="仿宋" w:hAnsi="仿宋" w:eastAsia="仿宋" w:cs="仿宋"/>
                <w:color w:val="auto"/>
                <w:sz w:val="24"/>
                <w:highlight w:val="none"/>
              </w:rPr>
              <w:t>正本一份、副本四份。</w:t>
            </w:r>
          </w:p>
        </w:tc>
      </w:tr>
      <w:tr w14:paraId="45E5FFE0">
        <w:tblPrEx>
          <w:tblCellMar>
            <w:top w:w="0" w:type="dxa"/>
            <w:left w:w="108" w:type="dxa"/>
            <w:bottom w:w="0" w:type="dxa"/>
            <w:right w:w="108" w:type="dxa"/>
          </w:tblCellMar>
        </w:tblPrEx>
        <w:trPr>
          <w:trHeight w:val="1202"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23730DB8">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5</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128C48E6">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投标文件接收单位：</w:t>
            </w:r>
            <w:r>
              <w:rPr>
                <w:rFonts w:hint="default" w:ascii="仿宋" w:hAnsi="仿宋" w:eastAsia="仿宋" w:cs="仿宋"/>
                <w:bCs/>
                <w:color w:val="auto"/>
                <w:sz w:val="24"/>
                <w:highlight w:val="none"/>
              </w:rPr>
              <w:t>浙江泛亚工程咨询有限公司</w:t>
            </w:r>
          </w:p>
          <w:p w14:paraId="4B04D365">
            <w:pPr>
              <w:pStyle w:val="72"/>
              <w:keepNext w:val="0"/>
              <w:keepLines w:val="0"/>
              <w:suppressLineNumbers w:val="0"/>
              <w:spacing w:before="0" w:beforeAutospacing="0" w:after="0" w:afterAutospacing="0" w:line="288" w:lineRule="auto"/>
              <w:ind w:left="0" w:right="0"/>
              <w:rPr>
                <w:rFonts w:hint="default" w:ascii="仿宋" w:hAnsi="仿宋" w:eastAsia="仿宋" w:cs="仿宋"/>
                <w:b w:val="0"/>
                <w:bCs w:val="0"/>
                <w:color w:val="auto"/>
                <w:highlight w:val="none"/>
                <w:lang w:val="en-US"/>
              </w:rPr>
            </w:pPr>
            <w:r>
              <w:rPr>
                <w:rFonts w:hint="default" w:ascii="仿宋" w:hAnsi="仿宋" w:eastAsia="仿宋" w:cs="仿宋"/>
                <w:color w:val="auto"/>
                <w:kern w:val="2"/>
                <w:highlight w:val="none"/>
                <w:lang w:val="en-US"/>
              </w:rPr>
              <w:t>投标文件送达地址：</w:t>
            </w:r>
            <w:r>
              <w:rPr>
                <w:rFonts w:hint="default" w:ascii="仿宋" w:hAnsi="仿宋" w:eastAsia="仿宋" w:cs="仿宋"/>
                <w:b w:val="0"/>
                <w:bCs w:val="0"/>
                <w:color w:val="auto"/>
                <w:highlight w:val="none"/>
              </w:rPr>
              <w:t>浙江泛亚工程咨询有限公司（绍兴市越城区稽山街道天姥路5号2幢2楼201）会议室。</w:t>
            </w:r>
          </w:p>
          <w:p w14:paraId="5B53E478">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color w:val="auto"/>
                <w:sz w:val="24"/>
                <w:highlight w:val="none"/>
              </w:rPr>
              <w:t>报价文件资料、商务技术文件资料必须单独封装。</w:t>
            </w:r>
          </w:p>
        </w:tc>
      </w:tr>
      <w:tr w14:paraId="16553C3B">
        <w:tblPrEx>
          <w:tblCellMar>
            <w:top w:w="0" w:type="dxa"/>
            <w:left w:w="108" w:type="dxa"/>
            <w:bottom w:w="0" w:type="dxa"/>
            <w:right w:w="108" w:type="dxa"/>
          </w:tblCellMar>
        </w:tblPrEx>
        <w:trPr>
          <w:trHeight w:val="609"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7F7852DE">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6</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3D3F6EE">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投标截止时间：</w:t>
            </w:r>
            <w:r>
              <w:rPr>
                <w:rFonts w:hint="default" w:ascii="仿宋" w:hAnsi="仿宋" w:eastAsia="仿宋" w:cs="仿宋"/>
                <w:color w:val="auto"/>
                <w:sz w:val="24"/>
                <w:highlight w:val="none"/>
                <w:u w:val="single"/>
              </w:rPr>
              <w:t>202</w:t>
            </w:r>
            <w:r>
              <w:rPr>
                <w:rFonts w:hint="default" w:ascii="仿宋" w:hAnsi="仿宋" w:eastAsia="仿宋" w:cs="仿宋"/>
                <w:color w:val="auto"/>
                <w:sz w:val="24"/>
                <w:highlight w:val="none"/>
                <w:u w:val="single"/>
                <w:lang w:val="en-US" w:eastAsia="zh-CN"/>
              </w:rPr>
              <w:t>5</w:t>
            </w:r>
            <w:r>
              <w:rPr>
                <w:rFonts w:hint="default" w:ascii="仿宋" w:hAnsi="仿宋" w:eastAsia="仿宋" w:cs="仿宋"/>
                <w:color w:val="auto"/>
                <w:sz w:val="24"/>
                <w:highlight w:val="none"/>
              </w:rPr>
              <w:t>年</w:t>
            </w:r>
            <w:r>
              <w:rPr>
                <w:rFonts w:hint="default" w:ascii="仿宋" w:hAnsi="仿宋" w:eastAsia="仿宋" w:cs="仿宋"/>
                <w:color w:val="auto"/>
                <w:sz w:val="24"/>
                <w:highlight w:val="none"/>
                <w:u w:val="single"/>
                <w:lang w:val="en-US" w:eastAsia="zh-CN"/>
              </w:rPr>
              <w:t xml:space="preserve">    </w:t>
            </w:r>
            <w:r>
              <w:rPr>
                <w:rFonts w:hint="default" w:ascii="仿宋" w:hAnsi="仿宋" w:eastAsia="仿宋" w:cs="仿宋"/>
                <w:color w:val="auto"/>
                <w:sz w:val="24"/>
                <w:highlight w:val="none"/>
              </w:rPr>
              <w:t>月</w:t>
            </w:r>
            <w:r>
              <w:rPr>
                <w:rFonts w:hint="default" w:ascii="仿宋" w:hAnsi="仿宋" w:eastAsia="仿宋" w:cs="仿宋"/>
                <w:color w:val="auto"/>
                <w:sz w:val="24"/>
                <w:highlight w:val="none"/>
                <w:u w:val="single"/>
                <w:lang w:val="en-US" w:eastAsia="zh-CN"/>
              </w:rPr>
              <w:t xml:space="preserve">    </w:t>
            </w:r>
            <w:r>
              <w:rPr>
                <w:rFonts w:hint="default" w:ascii="仿宋" w:hAnsi="仿宋" w:eastAsia="仿宋" w:cs="仿宋"/>
                <w:color w:val="auto"/>
                <w:sz w:val="24"/>
                <w:highlight w:val="none"/>
              </w:rPr>
              <w:t>日</w:t>
            </w:r>
            <w:r>
              <w:rPr>
                <w:rFonts w:hint="default" w:ascii="仿宋" w:hAnsi="仿宋" w:eastAsia="仿宋" w:cs="仿宋"/>
                <w:color w:val="auto"/>
                <w:sz w:val="24"/>
                <w:highlight w:val="none"/>
                <w:u w:val="single"/>
              </w:rPr>
              <w:t>14：30</w:t>
            </w:r>
            <w:r>
              <w:rPr>
                <w:rFonts w:hint="default" w:ascii="仿宋" w:hAnsi="仿宋" w:eastAsia="仿宋" w:cs="仿宋"/>
                <w:color w:val="auto"/>
                <w:sz w:val="24"/>
                <w:highlight w:val="none"/>
              </w:rPr>
              <w:t>时</w:t>
            </w:r>
            <w:r>
              <w:rPr>
                <w:rFonts w:hint="default" w:ascii="仿宋" w:hAnsi="仿宋" w:eastAsia="仿宋" w:cs="仿宋"/>
                <w:bCs/>
                <w:color w:val="auto"/>
                <w:sz w:val="24"/>
                <w:highlight w:val="none"/>
              </w:rPr>
              <w:t>整。</w:t>
            </w:r>
          </w:p>
        </w:tc>
      </w:tr>
      <w:tr w14:paraId="0B63E03B">
        <w:tblPrEx>
          <w:tblCellMar>
            <w:top w:w="0" w:type="dxa"/>
            <w:left w:w="108" w:type="dxa"/>
            <w:bottom w:w="0" w:type="dxa"/>
            <w:right w:w="108" w:type="dxa"/>
          </w:tblCellMar>
        </w:tblPrEx>
        <w:trPr>
          <w:trHeight w:val="772"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10A93756">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7</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56B14D71">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开标时间：</w:t>
            </w:r>
            <w:r>
              <w:rPr>
                <w:rFonts w:hint="default" w:ascii="仿宋" w:hAnsi="仿宋" w:eastAsia="仿宋" w:cs="仿宋"/>
                <w:color w:val="auto"/>
                <w:sz w:val="24"/>
                <w:highlight w:val="none"/>
                <w:u w:val="single"/>
              </w:rPr>
              <w:t>202</w:t>
            </w:r>
            <w:r>
              <w:rPr>
                <w:rFonts w:hint="default" w:ascii="仿宋" w:hAnsi="仿宋" w:eastAsia="仿宋" w:cs="仿宋"/>
                <w:color w:val="auto"/>
                <w:sz w:val="24"/>
                <w:highlight w:val="none"/>
                <w:u w:val="single"/>
                <w:lang w:val="en-US" w:eastAsia="zh-CN"/>
              </w:rPr>
              <w:t>5</w:t>
            </w:r>
            <w:r>
              <w:rPr>
                <w:rFonts w:hint="default" w:ascii="仿宋" w:hAnsi="仿宋" w:eastAsia="仿宋" w:cs="仿宋"/>
                <w:color w:val="auto"/>
                <w:sz w:val="24"/>
                <w:highlight w:val="none"/>
              </w:rPr>
              <w:t>年</w:t>
            </w:r>
            <w:r>
              <w:rPr>
                <w:rFonts w:hint="default" w:ascii="仿宋" w:hAnsi="仿宋" w:eastAsia="仿宋" w:cs="仿宋"/>
                <w:color w:val="auto"/>
                <w:sz w:val="24"/>
                <w:highlight w:val="none"/>
                <w:u w:val="single"/>
                <w:lang w:val="en-US" w:eastAsia="zh-CN"/>
              </w:rPr>
              <w:t xml:space="preserve">    </w:t>
            </w:r>
            <w:r>
              <w:rPr>
                <w:rFonts w:hint="default" w:ascii="仿宋" w:hAnsi="仿宋" w:eastAsia="仿宋" w:cs="仿宋"/>
                <w:color w:val="auto"/>
                <w:sz w:val="24"/>
                <w:highlight w:val="none"/>
              </w:rPr>
              <w:t>月</w:t>
            </w:r>
            <w:r>
              <w:rPr>
                <w:rFonts w:hint="default" w:ascii="仿宋" w:hAnsi="仿宋" w:eastAsia="仿宋" w:cs="仿宋"/>
                <w:color w:val="auto"/>
                <w:sz w:val="24"/>
                <w:highlight w:val="none"/>
                <w:u w:val="single"/>
                <w:lang w:val="en-US" w:eastAsia="zh-CN"/>
              </w:rPr>
              <w:t xml:space="preserve">    </w:t>
            </w:r>
            <w:r>
              <w:rPr>
                <w:rFonts w:hint="default" w:ascii="仿宋" w:hAnsi="仿宋" w:eastAsia="仿宋" w:cs="仿宋"/>
                <w:color w:val="auto"/>
                <w:sz w:val="24"/>
                <w:highlight w:val="none"/>
              </w:rPr>
              <w:t>日</w:t>
            </w:r>
            <w:r>
              <w:rPr>
                <w:rFonts w:hint="default" w:ascii="仿宋" w:hAnsi="仿宋" w:eastAsia="仿宋" w:cs="仿宋"/>
                <w:color w:val="auto"/>
                <w:sz w:val="24"/>
                <w:highlight w:val="none"/>
                <w:u w:val="single"/>
              </w:rPr>
              <w:t>14：30</w:t>
            </w:r>
            <w:r>
              <w:rPr>
                <w:rFonts w:hint="default" w:ascii="仿宋" w:hAnsi="仿宋" w:eastAsia="仿宋" w:cs="仿宋"/>
                <w:color w:val="auto"/>
                <w:sz w:val="24"/>
                <w:highlight w:val="none"/>
              </w:rPr>
              <w:t>时</w:t>
            </w:r>
            <w:r>
              <w:rPr>
                <w:rFonts w:hint="default" w:ascii="仿宋" w:hAnsi="仿宋" w:eastAsia="仿宋" w:cs="仿宋"/>
                <w:bCs/>
                <w:color w:val="auto"/>
                <w:sz w:val="24"/>
                <w:highlight w:val="none"/>
              </w:rPr>
              <w:t>整。</w:t>
            </w:r>
          </w:p>
          <w:p w14:paraId="5EA702F9">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开标地点：</w:t>
            </w:r>
            <w:r>
              <w:rPr>
                <w:rFonts w:hint="default" w:ascii="仿宋" w:hAnsi="仿宋" w:eastAsia="仿宋" w:cs="仿宋"/>
                <w:color w:val="auto"/>
                <w:sz w:val="24"/>
                <w:highlight w:val="none"/>
              </w:rPr>
              <w:t>浙江泛亚工程咨询有限公司（</w:t>
            </w:r>
            <w:r>
              <w:rPr>
                <w:rFonts w:hint="default" w:ascii="仿宋" w:hAnsi="仿宋" w:eastAsia="仿宋" w:cs="Arial"/>
                <w:bCs/>
                <w:color w:val="auto"/>
                <w:sz w:val="24"/>
                <w:highlight w:val="none"/>
              </w:rPr>
              <w:t>绍兴市越城区稽山街道天姥路5号2幢2楼201</w:t>
            </w:r>
            <w:r>
              <w:rPr>
                <w:rFonts w:hint="default" w:ascii="仿宋" w:hAnsi="仿宋" w:eastAsia="仿宋" w:cs="仿宋"/>
                <w:color w:val="auto"/>
                <w:sz w:val="24"/>
                <w:highlight w:val="none"/>
              </w:rPr>
              <w:t>）会议室。</w:t>
            </w:r>
          </w:p>
        </w:tc>
      </w:tr>
      <w:tr w14:paraId="486A85AE">
        <w:tblPrEx>
          <w:tblCellMar>
            <w:top w:w="0" w:type="dxa"/>
            <w:left w:w="108" w:type="dxa"/>
            <w:bottom w:w="0" w:type="dxa"/>
            <w:right w:w="108" w:type="dxa"/>
          </w:tblCellMar>
        </w:tblPrEx>
        <w:trPr>
          <w:trHeight w:val="768"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2506BB3">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8</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6F60B99F">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联系方式</w:t>
            </w:r>
            <w:r>
              <w:rPr>
                <w:rFonts w:hint="default" w:ascii="仿宋" w:hAnsi="仿宋" w:eastAsia="仿宋" w:cs="仿宋"/>
                <w:bCs/>
                <w:color w:val="auto"/>
                <w:sz w:val="24"/>
                <w:highlight w:val="none"/>
              </w:rPr>
              <w:t>：浙江泛亚工程咨询有限公司  王</w:t>
            </w:r>
            <w:r>
              <w:rPr>
                <w:rFonts w:hint="default" w:ascii="仿宋" w:hAnsi="仿宋" w:eastAsia="仿宋" w:cs="仿宋"/>
                <w:bCs/>
                <w:color w:val="auto"/>
                <w:sz w:val="24"/>
                <w:highlight w:val="none"/>
                <w:lang w:val="en-US" w:eastAsia="zh-CN"/>
              </w:rPr>
              <w:t>伟</w:t>
            </w:r>
            <w:r>
              <w:rPr>
                <w:rFonts w:hint="default" w:ascii="仿宋" w:hAnsi="仿宋" w:eastAsia="仿宋" w:cs="仿宋"/>
                <w:bCs/>
                <w:color w:val="auto"/>
                <w:sz w:val="24"/>
                <w:highlight w:val="none"/>
              </w:rPr>
              <w:t xml:space="preserve">   </w:t>
            </w:r>
            <w:r>
              <w:rPr>
                <w:rFonts w:hint="default" w:ascii="仿宋" w:hAnsi="仿宋" w:eastAsia="仿宋" w:cs="仿宋"/>
                <w:bCs/>
                <w:color w:val="auto"/>
                <w:sz w:val="24"/>
                <w:highlight w:val="none"/>
                <w:lang w:val="en-US" w:eastAsia="zh-CN"/>
              </w:rPr>
              <w:t xml:space="preserve"> </w:t>
            </w:r>
            <w:r>
              <w:rPr>
                <w:rFonts w:hint="default" w:ascii="仿宋" w:hAnsi="仿宋" w:eastAsia="仿宋" w:cs="仿宋"/>
                <w:bCs/>
                <w:color w:val="auto"/>
                <w:sz w:val="24"/>
                <w:highlight w:val="none"/>
              </w:rPr>
              <w:t xml:space="preserve"> 13858435067</w:t>
            </w:r>
          </w:p>
          <w:p w14:paraId="2549870B">
            <w:pPr>
              <w:keepNext w:val="0"/>
              <w:keepLines w:val="0"/>
              <w:suppressLineNumbers w:val="0"/>
              <w:spacing w:before="0" w:beforeAutospacing="0" w:after="0" w:afterAutospacing="0" w:line="288" w:lineRule="auto"/>
              <w:ind w:left="0" w:right="0" w:firstLine="1200"/>
              <w:rPr>
                <w:rFonts w:hint="default" w:ascii="仿宋" w:hAnsi="仿宋" w:eastAsia="仿宋" w:cs="仿宋"/>
                <w:bCs/>
                <w:color w:val="auto"/>
                <w:sz w:val="24"/>
                <w:highlight w:val="none"/>
              </w:rPr>
            </w:pPr>
            <w:r>
              <w:rPr>
                <w:rFonts w:hint="default" w:ascii="仿宋" w:hAnsi="仿宋" w:eastAsia="仿宋" w:cs="仿宋"/>
                <w:bCs/>
                <w:color w:val="auto"/>
                <w:sz w:val="24"/>
                <w:highlight w:val="none"/>
              </w:rPr>
              <w:t xml:space="preserve">绍兴市第七人民医院        </w:t>
            </w:r>
            <w:r>
              <w:rPr>
                <w:rFonts w:hint="default" w:ascii="仿宋" w:hAnsi="仿宋" w:eastAsia="仿宋" w:cs="仿宋"/>
                <w:bCs/>
                <w:color w:val="auto"/>
                <w:sz w:val="24"/>
                <w:highlight w:val="none"/>
                <w:lang w:val="en-US" w:eastAsia="zh-CN"/>
              </w:rPr>
              <w:t>唐亮</w:t>
            </w:r>
            <w:r>
              <w:rPr>
                <w:rFonts w:hint="default" w:ascii="仿宋" w:hAnsi="仿宋" w:eastAsia="仿宋" w:cs="仿宋"/>
                <w:bCs/>
                <w:color w:val="auto"/>
                <w:sz w:val="24"/>
                <w:highlight w:val="none"/>
              </w:rPr>
              <w:t xml:space="preserve">    0575-85397715</w:t>
            </w:r>
          </w:p>
        </w:tc>
      </w:tr>
      <w:tr w14:paraId="333116C1">
        <w:tblPrEx>
          <w:tblCellMar>
            <w:top w:w="0" w:type="dxa"/>
            <w:left w:w="108" w:type="dxa"/>
            <w:bottom w:w="0" w:type="dxa"/>
            <w:right w:w="108" w:type="dxa"/>
          </w:tblCellMar>
        </w:tblPrEx>
        <w:trPr>
          <w:trHeight w:val="768"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DAF2FD1">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_GB2312;仿宋" w:hAnsi="仿宋_GB2312;仿宋" w:eastAsia="仿宋_GB2312;仿宋" w:cs="宋体"/>
                <w:color w:val="auto"/>
                <w:sz w:val="24"/>
                <w:highlight w:val="none"/>
              </w:rPr>
              <w:t>9</w:t>
            </w:r>
          </w:p>
        </w:tc>
        <w:tc>
          <w:tcPr>
            <w:tcW w:w="2401" w:type="dxa"/>
            <w:tcBorders>
              <w:top w:val="single" w:color="000000" w:sz="4" w:space="0"/>
              <w:left w:val="single" w:color="000000" w:sz="4" w:space="0"/>
              <w:bottom w:val="single" w:color="000000" w:sz="4" w:space="0"/>
              <w:right w:val="single" w:color="000000" w:sz="4" w:space="0"/>
            </w:tcBorders>
            <w:vAlign w:val="center"/>
          </w:tcPr>
          <w:p w14:paraId="5985EF08">
            <w:pPr>
              <w:keepNext w:val="0"/>
              <w:keepLines w:val="0"/>
              <w:suppressLineNumbers w:val="0"/>
              <w:snapToGrid w:val="0"/>
              <w:spacing w:before="0" w:beforeAutospacing="0" w:after="0" w:afterAutospacing="0" w:line="288" w:lineRule="auto"/>
              <w:ind w:left="-3" w:right="-50" w:hanging="14"/>
              <w:rPr>
                <w:rFonts w:hint="default" w:ascii="仿宋" w:hAnsi="仿宋" w:eastAsia="仿宋" w:cs="仿宋"/>
                <w:bCs/>
                <w:color w:val="auto"/>
                <w:sz w:val="24"/>
                <w:highlight w:val="none"/>
              </w:rPr>
            </w:pPr>
            <w:r>
              <w:rPr>
                <w:rFonts w:hint="default" w:ascii="仿宋_GB2312;仿宋" w:hAnsi="仿宋_GB2312;仿宋" w:eastAsia="仿宋_GB2312;仿宋" w:cs="仿宋_GB2312;仿宋"/>
                <w:b/>
                <w:color w:val="auto"/>
                <w:spacing w:val="-20"/>
                <w:sz w:val="24"/>
                <w:highlight w:val="none"/>
              </w:rPr>
              <w:t>项目属性与核心产品</w:t>
            </w:r>
          </w:p>
        </w:tc>
        <w:tc>
          <w:tcPr>
            <w:tcW w:w="5980" w:type="dxa"/>
            <w:tcBorders>
              <w:top w:val="single" w:color="000000" w:sz="4" w:space="0"/>
              <w:left w:val="single" w:color="000000" w:sz="4" w:space="0"/>
              <w:bottom w:val="single" w:color="000000" w:sz="4" w:space="0"/>
              <w:right w:val="single" w:color="000000" w:sz="4" w:space="0"/>
            </w:tcBorders>
            <w:vAlign w:val="center"/>
          </w:tcPr>
          <w:p w14:paraId="7DE33A11">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仿宋"/>
                <w:color w:val="auto"/>
                <w:sz w:val="24"/>
                <w:highlight w:val="none"/>
              </w:rPr>
            </w:pPr>
            <w:r>
              <w:rPr>
                <w:rFonts w:hint="default" w:ascii="仿宋_GB2312;仿宋" w:hAnsi="仿宋_GB2312;仿宋" w:eastAsia="仿宋_GB2312;仿宋" w:cs="Arial"/>
                <w:color w:val="auto"/>
                <w:kern w:val="0"/>
                <w:sz w:val="24"/>
                <w:highlight w:val="none"/>
              </w:rPr>
              <w:t>A</w:t>
            </w:r>
            <w:r>
              <w:rPr>
                <w:rFonts w:hint="default" w:ascii="仿宋_GB2312;仿宋" w:hAnsi="仿宋_GB2312;仿宋" w:eastAsia="仿宋_GB2312;仿宋" w:cs="仿宋"/>
                <w:color w:val="auto"/>
                <w:sz w:val="24"/>
                <w:highlight w:val="none"/>
              </w:rPr>
              <w:t>货物类，单一产品或</w:t>
            </w:r>
            <w:r>
              <w:rPr>
                <w:rFonts w:hint="default" w:ascii="仿宋_GB2312;仿宋" w:hAnsi="仿宋_GB2312;仿宋" w:eastAsia="仿宋_GB2312;仿宋" w:cs="仿宋"/>
                <w:color w:val="auto"/>
                <w:kern w:val="0"/>
                <w:sz w:val="24"/>
                <w:highlight w:val="none"/>
              </w:rPr>
              <w:t>核心产品为：</w:t>
            </w:r>
            <w:r>
              <w:rPr>
                <w:rFonts w:hint="default" w:ascii="仿宋_GB2312;仿宋" w:hAnsi="仿宋_GB2312;仿宋" w:eastAsia="仿宋_GB2312;仿宋" w:cs="仿宋"/>
                <w:color w:val="auto"/>
                <w:sz w:val="24"/>
                <w:highlight w:val="none"/>
              </w:rPr>
              <w:t>。</w:t>
            </w:r>
          </w:p>
          <w:p w14:paraId="1C382E59">
            <w:pPr>
              <w:keepNext w:val="0"/>
              <w:keepLines w:val="0"/>
              <w:suppressLineNumbers w:val="0"/>
              <w:snapToGrid w:val="0"/>
              <w:spacing w:before="0" w:beforeAutospacing="0" w:after="0" w:afterAutospacing="0" w:line="288" w:lineRule="auto"/>
              <w:ind w:left="0" w:right="-50" w:hanging="16"/>
              <w:rPr>
                <w:rFonts w:hint="default" w:ascii="仿宋_GB2312;仿宋" w:hAnsi="仿宋_GB2312;仿宋" w:eastAsia="仿宋_GB2312;仿宋" w:cs="仿宋_GB2312;仿宋"/>
                <w:b/>
                <w:color w:val="auto"/>
                <w:spacing w:val="-20"/>
                <w:sz w:val="24"/>
                <w:highlight w:val="none"/>
              </w:rPr>
            </w:pPr>
            <w:r>
              <w:rPr>
                <w:rFonts w:hint="default" w:ascii="Wingdings" w:hAnsi="Wingdings" w:eastAsia="仿宋_GB2312;仿宋" w:cs="Arial"/>
                <w:color w:val="auto"/>
                <w:kern w:val="0"/>
                <w:sz w:val="24"/>
                <w:highlight w:val="none"/>
              </w:rPr>
              <w:t></w:t>
            </w:r>
            <w:r>
              <w:rPr>
                <w:rFonts w:hint="default" w:ascii="仿宋_GB2312;仿宋" w:hAnsi="仿宋_GB2312;仿宋" w:eastAsia="仿宋_GB2312;仿宋" w:cs="Arial"/>
                <w:color w:val="auto"/>
                <w:kern w:val="0"/>
                <w:sz w:val="24"/>
                <w:highlight w:val="none"/>
              </w:rPr>
              <w:t>B</w:t>
            </w:r>
            <w:r>
              <w:rPr>
                <w:rFonts w:hint="default" w:ascii="仿宋_GB2312;仿宋" w:hAnsi="仿宋_GB2312;仿宋" w:eastAsia="仿宋_GB2312;仿宋" w:cs="仿宋"/>
                <w:color w:val="auto"/>
                <w:sz w:val="24"/>
                <w:highlight w:val="none"/>
              </w:rPr>
              <w:t>服务类。</w:t>
            </w:r>
          </w:p>
        </w:tc>
      </w:tr>
      <w:tr w14:paraId="551DC97E">
        <w:tblPrEx>
          <w:tblCellMar>
            <w:top w:w="0" w:type="dxa"/>
            <w:left w:w="108" w:type="dxa"/>
            <w:bottom w:w="0" w:type="dxa"/>
            <w:right w:w="108" w:type="dxa"/>
          </w:tblCellMar>
        </w:tblPrEx>
        <w:trPr>
          <w:trHeight w:val="768"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0376C889">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_GB2312;仿宋" w:hAnsi="仿宋_GB2312;仿宋" w:eastAsia="仿宋_GB2312;仿宋" w:cs="宋体"/>
                <w:color w:val="auto"/>
                <w:sz w:val="24"/>
                <w:highlight w:val="none"/>
              </w:rPr>
              <w:t>10</w:t>
            </w:r>
          </w:p>
        </w:tc>
        <w:tc>
          <w:tcPr>
            <w:tcW w:w="2401" w:type="dxa"/>
            <w:tcBorders>
              <w:top w:val="single" w:color="000000" w:sz="4" w:space="0"/>
              <w:left w:val="single" w:color="000000" w:sz="4" w:space="0"/>
              <w:bottom w:val="single" w:color="000000" w:sz="4" w:space="0"/>
              <w:right w:val="single" w:color="000000" w:sz="4" w:space="0"/>
            </w:tcBorders>
            <w:vAlign w:val="center"/>
          </w:tcPr>
          <w:p w14:paraId="5CA61A1E">
            <w:pPr>
              <w:keepNext w:val="0"/>
              <w:keepLines w:val="0"/>
              <w:suppressLineNumbers w:val="0"/>
              <w:snapToGrid w:val="0"/>
              <w:spacing w:before="0" w:beforeAutospacing="0" w:after="0" w:afterAutospacing="0" w:line="288" w:lineRule="auto"/>
              <w:ind w:left="-18" w:right="-50" w:hanging="1"/>
              <w:jc w:val="center"/>
              <w:rPr>
                <w:rFonts w:hint="default" w:ascii="仿宋" w:hAnsi="仿宋" w:eastAsia="仿宋" w:cs="仿宋"/>
                <w:bCs/>
                <w:color w:val="auto"/>
                <w:sz w:val="24"/>
                <w:highlight w:val="none"/>
              </w:rPr>
            </w:pPr>
            <w:r>
              <w:rPr>
                <w:rFonts w:hint="default" w:ascii="仿宋_GB2312;仿宋" w:hAnsi="仿宋_GB2312;仿宋" w:eastAsia="仿宋_GB2312;仿宋" w:cs="仿宋_GB2312;仿宋"/>
                <w:b/>
                <w:color w:val="auto"/>
                <w:spacing w:val="-20"/>
                <w:sz w:val="24"/>
                <w:highlight w:val="none"/>
              </w:rPr>
              <w:t>采购标的对应的中小企业划分标准所属行业</w:t>
            </w:r>
          </w:p>
        </w:tc>
        <w:tc>
          <w:tcPr>
            <w:tcW w:w="5980" w:type="dxa"/>
            <w:tcBorders>
              <w:top w:val="single" w:color="000000" w:sz="4" w:space="0"/>
              <w:left w:val="single" w:color="000000" w:sz="4" w:space="0"/>
              <w:bottom w:val="single" w:color="000000" w:sz="4" w:space="0"/>
              <w:right w:val="single" w:color="000000" w:sz="4" w:space="0"/>
            </w:tcBorders>
            <w:vAlign w:val="center"/>
          </w:tcPr>
          <w:p w14:paraId="0D865A56">
            <w:pPr>
              <w:keepNext w:val="0"/>
              <w:keepLines w:val="0"/>
              <w:suppressLineNumbers w:val="0"/>
              <w:snapToGrid w:val="0"/>
              <w:spacing w:before="0" w:beforeAutospacing="0" w:after="0" w:afterAutospacing="0" w:line="288" w:lineRule="auto"/>
              <w:ind w:left="0" w:right="0"/>
              <w:rPr>
                <w:rFonts w:hint="default" w:ascii="仿宋_GB2312;仿宋" w:hAnsi="仿宋_GB2312;仿宋" w:eastAsia="仿宋_GB2312;仿宋" w:cs="仿宋_GB2312;仿宋"/>
                <w:b/>
                <w:color w:val="auto"/>
                <w:spacing w:val="-20"/>
                <w:sz w:val="24"/>
                <w:highlight w:val="none"/>
              </w:rPr>
            </w:pPr>
            <w:r>
              <w:rPr>
                <w:rFonts w:hint="default" w:ascii="仿宋_GB2312;仿宋" w:hAnsi="仿宋_GB2312;仿宋" w:eastAsia="仿宋_GB2312;仿宋" w:cs="Arial"/>
                <w:color w:val="auto"/>
                <w:kern w:val="0"/>
                <w:sz w:val="24"/>
                <w:highlight w:val="none"/>
              </w:rPr>
              <w:t>01标的，属于</w:t>
            </w:r>
            <w:r>
              <w:rPr>
                <w:rFonts w:hint="default" w:ascii="仿宋_GB2312;仿宋" w:hAnsi="仿宋_GB2312;仿宋" w:eastAsia="仿宋_GB2312;仿宋" w:cs="Arial"/>
                <w:color w:val="auto"/>
                <w:kern w:val="0"/>
                <w:sz w:val="24"/>
                <w:highlight w:val="none"/>
                <w:u w:val="single"/>
              </w:rPr>
              <w:t xml:space="preserve"> 软件和信息技术服务业 </w:t>
            </w:r>
            <w:r>
              <w:rPr>
                <w:rFonts w:hint="default" w:ascii="仿宋_GB2312;仿宋" w:hAnsi="仿宋_GB2312;仿宋" w:eastAsia="仿宋_GB2312;仿宋" w:cs="Arial"/>
                <w:color w:val="auto"/>
                <w:kern w:val="0"/>
                <w:sz w:val="24"/>
                <w:highlight w:val="none"/>
              </w:rPr>
              <w:t>。</w:t>
            </w:r>
            <w:r>
              <w:rPr>
                <w:rFonts w:hint="default" w:eastAsia="Times New Roman"/>
                <w:color w:val="auto"/>
                <w:highlight w:val="none"/>
              </w:rPr>
              <w:t xml:space="preserve"> </w:t>
            </w:r>
          </w:p>
        </w:tc>
      </w:tr>
      <w:tr w14:paraId="161F86AC">
        <w:tblPrEx>
          <w:tblCellMar>
            <w:top w:w="0" w:type="dxa"/>
            <w:left w:w="108" w:type="dxa"/>
            <w:bottom w:w="0" w:type="dxa"/>
            <w:right w:w="108" w:type="dxa"/>
          </w:tblCellMar>
        </w:tblPrEx>
        <w:trPr>
          <w:trHeight w:val="467"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58634F99">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11</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4A585BB">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b/>
                <w:bCs/>
                <w:color w:val="auto"/>
                <w:sz w:val="24"/>
                <w:highlight w:val="none"/>
              </w:rPr>
              <w:t>解释：</w:t>
            </w:r>
            <w:r>
              <w:rPr>
                <w:rFonts w:hint="default" w:ascii="仿宋" w:hAnsi="仿宋" w:eastAsia="仿宋" w:cs="仿宋"/>
                <w:color w:val="auto"/>
                <w:sz w:val="24"/>
                <w:highlight w:val="none"/>
              </w:rPr>
              <w:t>凡涉及本招标文件的解释权属于招标人。</w:t>
            </w:r>
          </w:p>
        </w:tc>
      </w:tr>
      <w:tr w14:paraId="465694AC">
        <w:tblPrEx>
          <w:tblCellMar>
            <w:top w:w="0" w:type="dxa"/>
            <w:left w:w="108" w:type="dxa"/>
            <w:bottom w:w="0" w:type="dxa"/>
            <w:right w:w="108" w:type="dxa"/>
          </w:tblCellMar>
        </w:tblPrEx>
        <w:trPr>
          <w:trHeight w:val="467"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27F1334D">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12</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3BD28B66">
            <w:pPr>
              <w:keepNext w:val="0"/>
              <w:keepLines w:val="0"/>
              <w:suppressLineNumbers w:val="0"/>
              <w:spacing w:before="0" w:beforeAutospacing="0" w:after="0" w:afterAutospacing="0" w:line="288" w:lineRule="auto"/>
              <w:ind w:left="0" w:right="0"/>
              <w:rPr>
                <w:rFonts w:hint="default" w:ascii="仿宋" w:hAnsi="仿宋" w:eastAsia="仿宋" w:cs="仿宋"/>
                <w:b/>
                <w:bCs/>
                <w:color w:val="auto"/>
                <w:sz w:val="24"/>
                <w:highlight w:val="none"/>
              </w:rPr>
            </w:pPr>
            <w:r>
              <w:rPr>
                <w:rFonts w:hint="default" w:ascii="仿宋" w:hAnsi="仿宋" w:eastAsia="仿宋" w:cs="仿宋"/>
                <w:b/>
                <w:bCs/>
                <w:color w:val="auto"/>
                <w:sz w:val="24"/>
                <w:highlight w:val="none"/>
              </w:rPr>
              <w:t>其他：代理服务费</w:t>
            </w:r>
          </w:p>
          <w:p w14:paraId="6A161F12">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中标人须向招标采购代理机构交纳代理服务费：</w:t>
            </w:r>
          </w:p>
          <w:p w14:paraId="5DBE8FF1">
            <w:pPr>
              <w:keepNext w:val="0"/>
              <w:keepLines w:val="0"/>
              <w:numPr>
                <w:ilvl w:val="0"/>
                <w:numId w:val="5"/>
              </w:numPr>
              <w:suppressLineNumbers w:val="0"/>
              <w:spacing w:before="0" w:beforeAutospacing="0" w:after="0" w:afterAutospacing="0" w:line="288" w:lineRule="auto"/>
              <w:ind w:right="0"/>
              <w:rPr>
                <w:rFonts w:hint="default" w:ascii="仿宋" w:hAnsi="仿宋" w:eastAsia="仿宋" w:cs="仿宋"/>
                <w:color w:val="auto"/>
                <w:sz w:val="24"/>
                <w:highlight w:val="none"/>
              </w:rPr>
            </w:pPr>
            <w:r>
              <w:rPr>
                <w:rFonts w:hint="default" w:ascii="仿宋" w:hAnsi="仿宋" w:eastAsia="仿宋" w:cs="仿宋"/>
                <w:color w:val="auto"/>
                <w:sz w:val="24"/>
                <w:highlight w:val="none"/>
              </w:rPr>
              <w:t>代理服务费收费标准：以中标通知书中确定的中标金额作为服务费的计算基数，具体比例按《年度招标采购委托代理服务》规定的收费标准收取中标金额在100万以下部分为1.5%，在此基础上*50%，代理服务费不足2500元按照2500元收取</w:t>
            </w:r>
            <w:r>
              <w:rPr>
                <w:rFonts w:hint="default" w:ascii="仿宋" w:hAnsi="仿宋" w:eastAsia="仿宋" w:cs="仿宋"/>
                <w:color w:val="auto"/>
                <w:sz w:val="24"/>
                <w:highlight w:val="none"/>
                <w:lang w:eastAsia="zh-CN"/>
              </w:rPr>
              <w:t>。</w:t>
            </w:r>
          </w:p>
          <w:p w14:paraId="307BF605">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（2）中标服务费的交纳方式：</w:t>
            </w:r>
          </w:p>
          <w:p w14:paraId="06CC57EE">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用银行支票、汇票、电汇、现金等付款方式直接交纳代理服务费。</w:t>
            </w:r>
          </w:p>
          <w:p w14:paraId="6DAC4019">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公司名称：浙江泛亚工程咨询有限公司</w:t>
            </w:r>
          </w:p>
          <w:p w14:paraId="2171ABD7">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开户行：中国建设银行杭州西湖支行</w:t>
            </w:r>
          </w:p>
          <w:p w14:paraId="30714C3F">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账  号：33001619635050000853</w:t>
            </w:r>
          </w:p>
          <w:p w14:paraId="085A90B7">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（3）领取中标通知书前</w:t>
            </w:r>
            <w:r>
              <w:rPr>
                <w:rFonts w:hint="default" w:ascii="仿宋" w:hAnsi="仿宋" w:eastAsia="仿宋" w:cs="仿宋"/>
                <w:color w:val="auto"/>
                <w:sz w:val="24"/>
                <w:highlight w:val="none"/>
                <w:lang w:eastAsia="zh-CN"/>
              </w:rPr>
              <w:t>缴纳</w:t>
            </w:r>
            <w:r>
              <w:rPr>
                <w:rFonts w:hint="default" w:ascii="仿宋" w:hAnsi="仿宋" w:eastAsia="仿宋" w:cs="仿宋"/>
                <w:color w:val="auto"/>
                <w:sz w:val="24"/>
                <w:highlight w:val="none"/>
              </w:rPr>
              <w:t>。</w:t>
            </w:r>
          </w:p>
        </w:tc>
      </w:tr>
    </w:tbl>
    <w:p w14:paraId="03A13311">
      <w:pPr>
        <w:spacing w:line="288" w:lineRule="auto"/>
        <w:ind w:left="238" w:firstLine="0"/>
        <w:jc w:val="center"/>
        <w:rPr>
          <w:rFonts w:ascii="仿宋" w:hAnsi="仿宋" w:eastAsia="仿宋" w:cs="仿宋"/>
          <w:color w:val="auto"/>
          <w:sz w:val="24"/>
          <w:highlight w:val="none"/>
        </w:rPr>
      </w:pPr>
    </w:p>
    <w:p w14:paraId="690B98C6">
      <w:pPr>
        <w:pStyle w:val="71"/>
        <w:widowControl w:val="0"/>
        <w:spacing w:line="288" w:lineRule="auto"/>
        <w:jc w:val="both"/>
        <w:rPr>
          <w:rFonts w:ascii="仿宋" w:hAnsi="仿宋" w:eastAsia="仿宋" w:cs="仿宋"/>
          <w:b/>
          <w:bCs/>
          <w:color w:val="auto"/>
          <w:sz w:val="48"/>
          <w:highlight w:val="none"/>
        </w:rPr>
      </w:pPr>
      <w:r>
        <w:rPr>
          <w:rFonts w:ascii="仿宋" w:hAnsi="仿宋" w:eastAsia="仿宋" w:cs="仿宋"/>
          <w:b/>
          <w:color w:val="auto"/>
          <w:sz w:val="48"/>
          <w:highlight w:val="none"/>
        </w:rPr>
        <w:t>注：</w:t>
      </w:r>
    </w:p>
    <w:p w14:paraId="000BE913">
      <w:pPr>
        <w:pStyle w:val="71"/>
        <w:tabs>
          <w:tab w:val="left" w:pos="993"/>
          <w:tab w:val="left" w:pos="1260"/>
        </w:tabs>
        <w:spacing w:line="288" w:lineRule="auto"/>
        <w:ind w:left="358" w:hanging="358"/>
        <w:jc w:val="left"/>
        <w:rPr>
          <w:rFonts w:ascii="仿宋" w:hAnsi="仿宋" w:eastAsia="仿宋" w:cs="仿宋"/>
          <w:b/>
          <w:bCs/>
          <w:color w:val="auto"/>
          <w:sz w:val="30"/>
          <w:szCs w:val="30"/>
          <w:highlight w:val="none"/>
        </w:rPr>
      </w:pPr>
      <w:r>
        <w:rPr>
          <w:rFonts w:ascii="仿宋" w:hAnsi="仿宋" w:eastAsia="仿宋" w:cs="仿宋"/>
          <w:b/>
          <w:color w:val="auto"/>
          <w:sz w:val="30"/>
          <w:szCs w:val="30"/>
          <w:highlight w:val="none"/>
        </w:rPr>
        <w:t>1.交易市场的正常秩序，进一步遏制串标、抬标行为，保护交易各方的合法权益，凡在同一招标项目的评标中，发现</w:t>
      </w:r>
      <w:r>
        <w:rPr>
          <w:rFonts w:ascii="仿宋" w:hAnsi="仿宋" w:eastAsia="仿宋" w:cs="仿宋"/>
          <w:b/>
          <w:i/>
          <w:color w:val="auto"/>
          <w:sz w:val="30"/>
          <w:szCs w:val="30"/>
          <w:highlight w:val="none"/>
          <w:u w:val="double"/>
        </w:rPr>
        <w:t>有二份及二份以上投标文件的相互之间有特别相同或相似之处</w:t>
      </w:r>
      <w:r>
        <w:rPr>
          <w:rFonts w:ascii="仿宋" w:hAnsi="仿宋" w:eastAsia="仿宋" w:cs="仿宋"/>
          <w:b/>
          <w:color w:val="auto"/>
          <w:sz w:val="30"/>
          <w:szCs w:val="30"/>
          <w:highlight w:val="none"/>
        </w:rPr>
        <w:t>，且经询标澄清投标人无令人信服的理由和可靠证据证明其合理性的，经评标委员会半数以上成员确认有</w:t>
      </w:r>
      <w:r>
        <w:rPr>
          <w:rFonts w:ascii="仿宋" w:hAnsi="仿宋" w:eastAsia="仿宋" w:cs="仿宋"/>
          <w:b/>
          <w:color w:val="auto"/>
          <w:sz w:val="30"/>
          <w:szCs w:val="30"/>
          <w:highlight w:val="none"/>
          <w:u w:val="double"/>
        </w:rPr>
        <w:t>串通投标</w:t>
      </w:r>
      <w:r>
        <w:rPr>
          <w:rFonts w:ascii="仿宋" w:hAnsi="仿宋" w:eastAsia="仿宋" w:cs="仿宋"/>
          <w:b/>
          <w:color w:val="auto"/>
          <w:sz w:val="30"/>
          <w:szCs w:val="30"/>
          <w:highlight w:val="none"/>
        </w:rPr>
        <w:t>嫌疑的，其投标文件按</w:t>
      </w:r>
      <w:r>
        <w:rPr>
          <w:rFonts w:ascii="仿宋" w:hAnsi="仿宋" w:eastAsia="仿宋" w:cs="仿宋"/>
          <w:b/>
          <w:color w:val="auto"/>
          <w:sz w:val="30"/>
          <w:szCs w:val="30"/>
          <w:highlight w:val="none"/>
          <w:u w:val="double"/>
        </w:rPr>
        <w:t>无效投标处理</w:t>
      </w:r>
      <w:r>
        <w:rPr>
          <w:rFonts w:ascii="仿宋" w:hAnsi="仿宋" w:eastAsia="仿宋" w:cs="仿宋"/>
          <w:b/>
          <w:color w:val="auto"/>
          <w:sz w:val="30"/>
          <w:szCs w:val="30"/>
          <w:highlight w:val="none"/>
        </w:rPr>
        <w:t>，不再对其进行评审，也不影响招标工作继续评标。</w:t>
      </w:r>
    </w:p>
    <w:p w14:paraId="4AA7217A">
      <w:pPr>
        <w:snapToGrid w:val="0"/>
        <w:spacing w:line="288" w:lineRule="auto"/>
        <w:rPr>
          <w:rFonts w:ascii="仿宋" w:hAnsi="仿宋" w:eastAsia="仿宋" w:cs="仿宋"/>
          <w:b/>
          <w:color w:val="auto"/>
          <w:kern w:val="0"/>
          <w:sz w:val="30"/>
          <w:szCs w:val="30"/>
          <w:highlight w:val="none"/>
        </w:rPr>
      </w:pPr>
      <w:r>
        <w:rPr>
          <w:rFonts w:ascii="仿宋" w:hAnsi="仿宋" w:eastAsia="仿宋" w:cs="仿宋"/>
          <w:b/>
          <w:color w:val="auto"/>
          <w:kern w:val="0"/>
          <w:sz w:val="30"/>
          <w:szCs w:val="30"/>
          <w:highlight w:val="none"/>
        </w:rPr>
        <w:t>2.</w:t>
      </w:r>
      <w:r>
        <w:rPr>
          <w:rFonts w:ascii="仿宋" w:hAnsi="仿宋" w:eastAsia="仿宋" w:cs="仿宋"/>
          <w:b/>
          <w:color w:val="auto"/>
          <w:kern w:val="0"/>
          <w:sz w:val="30"/>
          <w:szCs w:val="30"/>
          <w:highlight w:val="none"/>
          <w:lang w:eastAsia="zh-CN"/>
        </w:rPr>
        <w:t>获取</w:t>
      </w:r>
      <w:r>
        <w:rPr>
          <w:rFonts w:ascii="仿宋" w:hAnsi="仿宋" w:eastAsia="仿宋" w:cs="仿宋"/>
          <w:b/>
          <w:color w:val="auto"/>
          <w:kern w:val="0"/>
          <w:sz w:val="30"/>
          <w:szCs w:val="30"/>
          <w:highlight w:val="none"/>
        </w:rPr>
        <w:t>后不参加投标的供应商，须提供书面说明。</w:t>
      </w:r>
      <w:r>
        <w:rPr>
          <w:color w:val="auto"/>
          <w:highlight w:val="none"/>
        </w:rPr>
        <w:br w:type="page"/>
      </w:r>
    </w:p>
    <w:p w14:paraId="0E5078CD">
      <w:pPr>
        <w:snapToGrid w:val="0"/>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一、总则</w:t>
      </w:r>
    </w:p>
    <w:p w14:paraId="4B045CE1">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 适用范围</w:t>
      </w:r>
    </w:p>
    <w:p w14:paraId="7433485F">
      <w:pPr>
        <w:keepNext w:val="0"/>
        <w:keepLines w:val="0"/>
        <w:pageBreakBefore w:val="0"/>
        <w:kinsoku/>
        <w:overflowPunct/>
        <w:autoSpaceDE/>
        <w:bidi w:val="0"/>
        <w:snapToGrid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本招标文件适用于本次所述项目的招标。</w:t>
      </w:r>
    </w:p>
    <w:p w14:paraId="34ABDA17">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2. 定义</w:t>
      </w:r>
    </w:p>
    <w:p w14:paraId="332ABD7A">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 “招标人”系指组织本次招标的招标单位(或采购人/采购单位)。</w:t>
      </w:r>
    </w:p>
    <w:p w14:paraId="23B5A7FB">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 “投标人”或“投标单位”系指向招标方提交投标文件的服务提供商或制造商或集成商(供应商)。</w:t>
      </w:r>
    </w:p>
    <w:p w14:paraId="4636C86E">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2.3“服务”是指采购文件中所述的投标人应提供的相关服务。</w:t>
      </w:r>
    </w:p>
    <w:p w14:paraId="72F9F35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2.4 “项目”系指投标人按招标文件规定向采购人提供的产品或服务。</w:t>
      </w:r>
    </w:p>
    <w:p w14:paraId="6B09EE63">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2.5 “授权代表”系指法定代表人的被授权委托人。</w:t>
      </w:r>
    </w:p>
    <w:p w14:paraId="209B38CE">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3．招标方式</w:t>
      </w:r>
    </w:p>
    <w:p w14:paraId="618E88F0">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3.1 本次招标采用</w:t>
      </w:r>
      <w:r>
        <w:rPr>
          <w:rFonts w:ascii="仿宋" w:hAnsi="仿宋" w:eastAsia="仿宋" w:cs="仿宋"/>
          <w:b/>
          <w:color w:val="auto"/>
          <w:kern w:val="0"/>
          <w:sz w:val="24"/>
          <w:highlight w:val="none"/>
        </w:rPr>
        <w:t>公开招标</w:t>
      </w:r>
      <w:r>
        <w:rPr>
          <w:rFonts w:ascii="仿宋" w:hAnsi="仿宋" w:eastAsia="仿宋" w:cs="仿宋"/>
          <w:color w:val="auto"/>
          <w:sz w:val="24"/>
          <w:highlight w:val="none"/>
        </w:rPr>
        <w:t>方式进行。</w:t>
      </w:r>
    </w:p>
    <w:p w14:paraId="1854E49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color w:val="auto"/>
          <w:sz w:val="24"/>
          <w:highlight w:val="none"/>
        </w:rPr>
        <w:t>3.2 如某一标项投标人或实质性响应招标文件的投标人不足三家时，由采购人重新组织招标或按有关规定实施。</w:t>
      </w:r>
    </w:p>
    <w:p w14:paraId="7C8A8555">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4. 投标委托</w:t>
      </w:r>
    </w:p>
    <w:p w14:paraId="0634BEB6">
      <w:pPr>
        <w:pStyle w:val="10"/>
        <w:keepNext w:val="0"/>
        <w:keepLines w:val="0"/>
        <w:pageBreakBefore w:val="0"/>
        <w:kinsoku/>
        <w:overflowPunct/>
        <w:autoSpaceDE/>
        <w:bidi w:val="0"/>
        <w:snapToGrid w:val="0"/>
        <w:spacing w:before="0" w:after="0" w:line="440" w:lineRule="exact"/>
        <w:ind w:left="0" w:firstLine="480"/>
        <w:jc w:val="left"/>
        <w:textAlignment w:val="auto"/>
        <w:rPr>
          <w:rFonts w:ascii="仿宋" w:hAnsi="仿宋" w:eastAsia="仿宋" w:cs="仿宋"/>
          <w:color w:val="auto"/>
          <w:highlight w:val="none"/>
        </w:rPr>
      </w:pPr>
      <w:r>
        <w:rPr>
          <w:rFonts w:ascii="仿宋" w:hAnsi="仿宋" w:eastAsia="仿宋" w:cs="仿宋"/>
          <w:color w:val="auto"/>
          <w:highlight w:val="none"/>
        </w:rPr>
        <w:t>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0137AF0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 投标费用</w:t>
      </w:r>
    </w:p>
    <w:p w14:paraId="025138B7">
      <w:pPr>
        <w:keepNext w:val="0"/>
        <w:keepLines w:val="0"/>
        <w:pageBreakBefore w:val="0"/>
        <w:kinsoku/>
        <w:overflowPunct/>
        <w:autoSpaceDE/>
        <w:bidi w:val="0"/>
        <w:spacing w:line="440" w:lineRule="exact"/>
        <w:ind w:firstLine="360"/>
        <w:jc w:val="left"/>
        <w:textAlignment w:val="auto"/>
        <w:rPr>
          <w:rFonts w:ascii="仿宋" w:hAnsi="仿宋" w:eastAsia="仿宋" w:cs="仿宋"/>
          <w:b/>
          <w:bCs/>
          <w:color w:val="auto"/>
          <w:sz w:val="24"/>
          <w:highlight w:val="none"/>
        </w:rPr>
      </w:pPr>
      <w:r>
        <w:rPr>
          <w:rFonts w:ascii="仿宋" w:hAnsi="仿宋" w:eastAsia="仿宋" w:cs="仿宋"/>
          <w:bCs/>
          <w:color w:val="auto"/>
          <w:sz w:val="24"/>
          <w:highlight w:val="none"/>
        </w:rPr>
        <w:t>投标人应自行承担编制投标文件及参加本次投标所涉及的一切费用。不管投标结果如何，招标人对上述费用不负任何责任。</w:t>
      </w:r>
      <w:r>
        <w:rPr>
          <w:rFonts w:ascii="仿宋" w:hAnsi="仿宋" w:eastAsia="仿宋" w:cs="仿宋"/>
          <w:b/>
          <w:bCs/>
          <w:color w:val="auto"/>
          <w:sz w:val="24"/>
          <w:highlight w:val="none"/>
        </w:rPr>
        <w:t>中标人须向招标代理机构交纳代理服务费等，具体详见投标人须知前附表。</w:t>
      </w:r>
    </w:p>
    <w:p w14:paraId="3D8A0190">
      <w:pPr>
        <w:keepNext w:val="0"/>
        <w:keepLines w:val="0"/>
        <w:pageBreakBefore w:val="0"/>
        <w:kinsoku/>
        <w:overflowPunct/>
        <w:autoSpaceDE/>
        <w:bidi w:val="0"/>
        <w:spacing w:line="440" w:lineRule="exact"/>
        <w:jc w:val="left"/>
        <w:textAlignment w:val="auto"/>
        <w:rPr>
          <w:rFonts w:ascii="仿宋" w:hAnsi="仿宋" w:eastAsia="仿宋" w:cs="仿宋"/>
          <w:b/>
          <w:bCs/>
          <w:color w:val="auto"/>
          <w:sz w:val="24"/>
          <w:highlight w:val="none"/>
        </w:rPr>
      </w:pPr>
      <w:r>
        <w:rPr>
          <w:rFonts w:ascii="仿宋" w:hAnsi="仿宋" w:eastAsia="仿宋" w:cs="仿宋"/>
          <w:b/>
          <w:bCs/>
          <w:color w:val="auto"/>
          <w:sz w:val="24"/>
          <w:highlight w:val="none"/>
        </w:rPr>
        <w:t>6. 招标文件</w:t>
      </w:r>
    </w:p>
    <w:p w14:paraId="0D0DB329">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bCs/>
          <w:color w:val="auto"/>
          <w:sz w:val="24"/>
          <w:highlight w:val="none"/>
        </w:rPr>
        <w:t>6.1 招标文件包括本招标文件及所有按6.2所述的招标答疑记录和6.3发出的补充通知</w:t>
      </w:r>
      <w:r>
        <w:rPr>
          <w:rFonts w:ascii="仿宋" w:hAnsi="仿宋" w:eastAsia="仿宋" w:cs="仿宋"/>
          <w:color w:val="auto"/>
          <w:sz w:val="24"/>
          <w:highlight w:val="none"/>
        </w:rPr>
        <w:t>组成。</w:t>
      </w:r>
    </w:p>
    <w:p w14:paraId="5284BF8B">
      <w:pPr>
        <w:pStyle w:val="61"/>
        <w:keepNext w:val="0"/>
        <w:keepLines w:val="0"/>
        <w:pageBreakBefore w:val="0"/>
        <w:numPr>
          <w:ilvl w:val="0"/>
          <w:numId w:val="0"/>
        </w:numPr>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6.2招标文件的澄清</w:t>
      </w:r>
    </w:p>
    <w:p w14:paraId="7A7D8501">
      <w:pPr>
        <w:pStyle w:val="61"/>
        <w:keepNext w:val="0"/>
        <w:keepLines w:val="0"/>
        <w:pageBreakBefore w:val="0"/>
        <w:widowControl w:val="0"/>
        <w:numPr>
          <w:ilvl w:val="0"/>
          <w:numId w:val="0"/>
        </w:numPr>
        <w:kinsoku/>
        <w:overflowPunct/>
        <w:autoSpaceDE/>
        <w:bidi w:val="0"/>
        <w:snapToGrid/>
        <w:spacing w:line="440" w:lineRule="exact"/>
        <w:ind w:left="0"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E8681D1">
      <w:pPr>
        <w:pStyle w:val="61"/>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6.3招标文件的修改</w:t>
      </w:r>
    </w:p>
    <w:p w14:paraId="340010E6">
      <w:pPr>
        <w:pStyle w:val="61"/>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6.3.1在投标截止时间前规定时间内，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人代表或其授权代表的签字加盖公章，逾期不确认的视同认可。</w:t>
      </w:r>
    </w:p>
    <w:p w14:paraId="3286396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609435D2">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6.4本项目各标段内，如出现打有“★”的指标为实质性指标，任意一条出现负偏离的均视同为实质性不响应招标文件要求，作无效投标处理；如打有“▲”的指标则为重要指标，出现正、负偏离按评标办法内说明执行。</w:t>
      </w:r>
    </w:p>
    <w:p w14:paraId="52BA9D26">
      <w:pPr>
        <w:keepNext w:val="0"/>
        <w:keepLines w:val="0"/>
        <w:pageBreakBefore w:val="0"/>
        <w:kinsoku/>
        <w:overflowPunct/>
        <w:autoSpaceDE/>
        <w:bidi w:val="0"/>
        <w:snapToGrid w:val="0"/>
        <w:spacing w:line="440" w:lineRule="exact"/>
        <w:jc w:val="center"/>
        <w:textAlignment w:val="auto"/>
        <w:rPr>
          <w:rFonts w:ascii="仿宋" w:hAnsi="仿宋" w:eastAsia="仿宋" w:cs="仿宋"/>
          <w:b/>
          <w:color w:val="auto"/>
          <w:sz w:val="36"/>
          <w:szCs w:val="36"/>
          <w:highlight w:val="none"/>
        </w:rPr>
      </w:pPr>
    </w:p>
    <w:p w14:paraId="15AFB6EC">
      <w:pPr>
        <w:keepNext w:val="0"/>
        <w:keepLines w:val="0"/>
        <w:pageBreakBefore w:val="0"/>
        <w:kinsoku/>
        <w:overflowPunct/>
        <w:autoSpaceDE/>
        <w:bidi w:val="0"/>
        <w:snapToGrid w:val="0"/>
        <w:spacing w:line="440" w:lineRule="exact"/>
        <w:jc w:val="center"/>
        <w:textAlignment w:val="auto"/>
        <w:rPr>
          <w:rFonts w:ascii="仿宋" w:hAnsi="仿宋" w:eastAsia="仿宋" w:cs="仿宋"/>
          <w:b/>
          <w:color w:val="auto"/>
          <w:sz w:val="36"/>
          <w:szCs w:val="36"/>
          <w:highlight w:val="none"/>
        </w:rPr>
      </w:pPr>
      <w:r>
        <w:rPr>
          <w:rFonts w:ascii="仿宋" w:hAnsi="仿宋" w:eastAsia="仿宋" w:cs="仿宋"/>
          <w:b/>
          <w:color w:val="auto"/>
          <w:sz w:val="36"/>
          <w:szCs w:val="36"/>
          <w:highlight w:val="none"/>
        </w:rPr>
        <w:t>二、投标文件</w:t>
      </w:r>
    </w:p>
    <w:p w14:paraId="7882F5E2">
      <w:pPr>
        <w:keepNext w:val="0"/>
        <w:keepLines w:val="0"/>
        <w:pageBreakBefore w:val="0"/>
        <w:numPr>
          <w:ilvl w:val="0"/>
          <w:numId w:val="6"/>
        </w:numPr>
        <w:tabs>
          <w:tab w:val="left" w:pos="360"/>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投标文件的语言及计量单位</w:t>
      </w:r>
    </w:p>
    <w:p w14:paraId="204B544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1.1投标人应仔细阅读招标文件中的所有内容，按照招标文件要求，详细编制投标文件，并保证投标文件的正确性和真实性。</w:t>
      </w:r>
    </w:p>
    <w:p w14:paraId="33E7A1E6">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1.2 投标文件以及投标方与招标方就有关投标事宜的所有来往函电，均应以中文书写（技术术语除外）。</w:t>
      </w:r>
    </w:p>
    <w:p w14:paraId="74E224FE">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1.3 投标计量单位，除招标文件中有特殊要求外，应采用中华人民共和国法定计量单位，货币单位：人民币元。</w:t>
      </w:r>
    </w:p>
    <w:p w14:paraId="4263A076">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1.4不按招标文件的要求提供的投标文件可能导致被拒绝。</w:t>
      </w:r>
    </w:p>
    <w:p w14:paraId="6F763716">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2. 投标文件的组成</w:t>
      </w:r>
    </w:p>
    <w:p w14:paraId="4E57A9DD">
      <w:pPr>
        <w:keepNext w:val="0"/>
        <w:keepLines w:val="0"/>
        <w:pageBreakBefore w:val="0"/>
        <w:kinsoku/>
        <w:overflowPunct/>
        <w:autoSpaceDE/>
        <w:bidi w:val="0"/>
        <w:spacing w:line="440" w:lineRule="exact"/>
        <w:ind w:firstLine="352"/>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投标文件由“报价文件资料”、“商务技术文件资料” 两部分组成：</w:t>
      </w:r>
    </w:p>
    <w:p w14:paraId="44C9F8E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 “报价文件资料”应至少包含以下内容（正本用原件）：</w:t>
      </w:r>
    </w:p>
    <w:p w14:paraId="4C9EA72A">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 xml:space="preserve">2.1.1投标响应函（格式见第六部分附件）； </w:t>
      </w:r>
    </w:p>
    <w:p w14:paraId="376F514F">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2.1.2开标一览表（格式见第六部分附件）；</w:t>
      </w:r>
    </w:p>
    <w:p w14:paraId="5247835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2.1.3投标人需要说明的其他文件和说明（如有/格式自拟）。</w:t>
      </w:r>
    </w:p>
    <w:p w14:paraId="1AB520E2">
      <w:pPr>
        <w:keepNext w:val="0"/>
        <w:keepLines w:val="0"/>
        <w:pageBreakBefore w:val="0"/>
        <w:kinsoku/>
        <w:overflowPunct/>
        <w:autoSpaceDE/>
        <w:bidi w:val="0"/>
        <w:spacing w:line="440" w:lineRule="exact"/>
        <w:ind w:firstLine="360"/>
        <w:jc w:val="left"/>
        <w:textAlignment w:val="auto"/>
        <w:rPr>
          <w:rFonts w:ascii="仿宋" w:hAnsi="仿宋" w:eastAsia="仿宋" w:cs="仿宋"/>
          <w:b/>
          <w:color w:val="auto"/>
          <w:sz w:val="24"/>
          <w:highlight w:val="none"/>
          <w:u w:val="single"/>
        </w:rPr>
      </w:pPr>
      <w:r>
        <w:rPr>
          <w:rFonts w:ascii="仿宋" w:hAnsi="仿宋" w:eastAsia="仿宋" w:cs="仿宋"/>
          <w:color w:val="auto"/>
          <w:sz w:val="24"/>
          <w:highlight w:val="none"/>
        </w:rPr>
        <w:t>以上文件组成“报价文件资料”。投标人在“报价文件资料”中应对采购文件作实质性响应，该项内容将作为评标重要指标。</w:t>
      </w:r>
    </w:p>
    <w:p w14:paraId="083D9A4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 “商务技术文件资料”至少应包括以下内容（正本用原件）：</w:t>
      </w:r>
    </w:p>
    <w:p w14:paraId="781B8552">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2.2.1法定代表人授权委托书(格式见第六部分附件)；</w:t>
      </w:r>
    </w:p>
    <w:p w14:paraId="37588C8E">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2.2.2法定代表人及其授权代表身份证复印件（格式见第六部分附件）；</w:t>
      </w:r>
    </w:p>
    <w:p w14:paraId="68F3E66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2.2.3法定代表人身份证明书（格式见第六部分附件）；</w:t>
      </w:r>
    </w:p>
    <w:p w14:paraId="6FD64F1C">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2.2.4资格审查有关的书面承诺函（格式见第六部分附件）；</w:t>
      </w:r>
    </w:p>
    <w:p w14:paraId="0BBD7BD4">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5</w:t>
      </w:r>
      <w:r>
        <w:rPr>
          <w:rFonts w:ascii="仿宋" w:hAnsi="仿宋" w:eastAsia="仿宋" w:cs="仿宋"/>
          <w:color w:val="auto"/>
          <w:sz w:val="24"/>
          <w:highlight w:val="none"/>
        </w:rPr>
        <w:t>企业法人营业执照复印件（加盖单位公章）；</w:t>
      </w:r>
    </w:p>
    <w:p w14:paraId="2F48DE0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6</w:t>
      </w:r>
      <w:r>
        <w:rPr>
          <w:rFonts w:ascii="仿宋" w:hAnsi="仿宋" w:eastAsia="仿宋" w:cs="仿宋"/>
          <w:color w:val="auto"/>
          <w:sz w:val="24"/>
          <w:highlight w:val="none"/>
        </w:rPr>
        <w:t>中小企业声明函（格式见第六部分附件）；</w:t>
      </w:r>
    </w:p>
    <w:p w14:paraId="63A7FD4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7</w:t>
      </w:r>
      <w:r>
        <w:rPr>
          <w:rFonts w:ascii="仿宋" w:hAnsi="仿宋" w:eastAsia="仿宋" w:cs="仿宋"/>
          <w:color w:val="auto"/>
          <w:sz w:val="24"/>
          <w:highlight w:val="none"/>
        </w:rPr>
        <w:t>技术偏离说明表（投标人在投标文件技术偏离说明表中，应对项目技术规范和服务要求中所提出各项要求进行答复、说明和解释。）（格式见第六部分附件）；</w:t>
      </w:r>
    </w:p>
    <w:p w14:paraId="2A8760C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8</w:t>
      </w:r>
      <w:r>
        <w:rPr>
          <w:rFonts w:ascii="仿宋" w:hAnsi="仿宋" w:eastAsia="仿宋" w:cs="仿宋"/>
          <w:color w:val="auto"/>
          <w:sz w:val="24"/>
          <w:highlight w:val="none"/>
        </w:rPr>
        <w:t>技术服务、售后服务的内容和措施、技术培训，包括资质资格、技术力量、工作业绩、服务内容及承诺（如有）；</w:t>
      </w:r>
    </w:p>
    <w:p w14:paraId="53AE786A">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9</w:t>
      </w:r>
      <w:r>
        <w:rPr>
          <w:rFonts w:ascii="仿宋" w:hAnsi="仿宋" w:eastAsia="仿宋" w:cs="仿宋"/>
          <w:color w:val="auto"/>
          <w:sz w:val="24"/>
          <w:highlight w:val="none"/>
        </w:rPr>
        <w:t>优惠条件：投标人承诺给予招标人的各种优惠条件，包括设备价格、运输、保险、安装调试、付款条件、技术服务、售后服务等方面的优惠；当优惠条件涉及“报价单”中的各项费用时，必须与投标价格相统一（如有）；</w:t>
      </w:r>
    </w:p>
    <w:p w14:paraId="6316B12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10</w:t>
      </w:r>
      <w:r>
        <w:rPr>
          <w:rFonts w:ascii="仿宋" w:hAnsi="仿宋" w:eastAsia="仿宋" w:cs="仿宋"/>
          <w:color w:val="auto"/>
          <w:sz w:val="24"/>
          <w:highlight w:val="none"/>
        </w:rPr>
        <w:t>提供相关标段成功案例（如有，格式自拟）；</w:t>
      </w:r>
    </w:p>
    <w:p w14:paraId="1FD9CAF2">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2.2.1</w:t>
      </w:r>
      <w:r>
        <w:rPr>
          <w:rFonts w:ascii="仿宋" w:hAnsi="仿宋" w:eastAsia="仿宋" w:cs="仿宋"/>
          <w:color w:val="auto"/>
          <w:sz w:val="24"/>
          <w:highlight w:val="none"/>
          <w:lang w:val="en-US" w:eastAsia="zh-CN"/>
        </w:rPr>
        <w:t>1</w:t>
      </w:r>
      <w:r>
        <w:rPr>
          <w:rFonts w:ascii="仿宋" w:hAnsi="仿宋" w:eastAsia="仿宋" w:cs="仿宋"/>
          <w:color w:val="auto"/>
          <w:sz w:val="24"/>
          <w:highlight w:val="none"/>
        </w:rPr>
        <w:t>投标承诺书（格式见第六部分附件）；</w:t>
      </w:r>
    </w:p>
    <w:p w14:paraId="530D51D3">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color w:val="auto"/>
          <w:sz w:val="24"/>
          <w:highlight w:val="none"/>
        </w:rPr>
        <w:t>2.2.1</w:t>
      </w:r>
      <w:r>
        <w:rPr>
          <w:rFonts w:ascii="仿宋" w:hAnsi="仿宋" w:eastAsia="仿宋" w:cs="仿宋"/>
          <w:color w:val="auto"/>
          <w:sz w:val="24"/>
          <w:highlight w:val="none"/>
          <w:lang w:val="en-US" w:eastAsia="zh-CN"/>
        </w:rPr>
        <w:t>2</w:t>
      </w:r>
      <w:r>
        <w:rPr>
          <w:rFonts w:ascii="仿宋" w:hAnsi="仿宋" w:eastAsia="仿宋" w:cs="仿宋"/>
          <w:b/>
          <w:color w:val="auto"/>
          <w:sz w:val="24"/>
          <w:highlight w:val="none"/>
          <w:u w:val="wave"/>
        </w:rPr>
        <w:t>未尽事宜请各投标单位按评分细则和相对应标段相关要求制作(重要)</w:t>
      </w:r>
      <w:r>
        <w:rPr>
          <w:rFonts w:ascii="仿宋" w:hAnsi="仿宋" w:eastAsia="仿宋" w:cs="仿宋"/>
          <w:b/>
          <w:color w:val="auto"/>
          <w:sz w:val="24"/>
          <w:highlight w:val="none"/>
        </w:rPr>
        <w:t>；</w:t>
      </w:r>
    </w:p>
    <w:p w14:paraId="11184EBB">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2.2.1</w:t>
      </w:r>
      <w:r>
        <w:rPr>
          <w:rFonts w:ascii="仿宋" w:hAnsi="仿宋" w:eastAsia="仿宋" w:cs="仿宋"/>
          <w:color w:val="auto"/>
          <w:sz w:val="24"/>
          <w:highlight w:val="none"/>
          <w:lang w:val="en-US" w:eastAsia="zh-CN"/>
        </w:rPr>
        <w:t>3</w:t>
      </w:r>
      <w:r>
        <w:rPr>
          <w:rFonts w:ascii="仿宋" w:hAnsi="仿宋" w:eastAsia="仿宋" w:cs="仿宋"/>
          <w:color w:val="auto"/>
          <w:sz w:val="24"/>
          <w:highlight w:val="none"/>
        </w:rPr>
        <w:t>投标人需要说明的其他文件和说明（格式自拟）。</w:t>
      </w:r>
    </w:p>
    <w:p w14:paraId="0CA07879">
      <w:pPr>
        <w:keepNext w:val="0"/>
        <w:keepLines w:val="0"/>
        <w:pageBreakBefore w:val="0"/>
        <w:kinsoku/>
        <w:overflowPunct/>
        <w:autoSpaceDE/>
        <w:bidi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以上文件组成“商务技术文件资料”。投标人在“商务技术文件资料”中应对招标文件作实质性响应，该项内容将作为评标重要指标。</w:t>
      </w:r>
    </w:p>
    <w:p w14:paraId="72B8EE9F">
      <w:pPr>
        <w:keepNext w:val="0"/>
        <w:keepLines w:val="0"/>
        <w:pageBreakBefore w:val="0"/>
        <w:kinsoku/>
        <w:overflowPunct/>
        <w:autoSpaceDE/>
        <w:bidi w:val="0"/>
        <w:spacing w:line="440" w:lineRule="exact"/>
        <w:ind w:firstLine="480"/>
        <w:jc w:val="left"/>
        <w:textAlignment w:val="auto"/>
        <w:rPr>
          <w:rFonts w:ascii="仿宋" w:hAnsi="仿宋" w:eastAsia="仿宋" w:cs="仿宋"/>
          <w:b/>
          <w:color w:val="auto"/>
          <w:highlight w:val="none"/>
        </w:rPr>
      </w:pPr>
      <w:r>
        <w:rPr>
          <w:rFonts w:ascii="仿宋" w:hAnsi="仿宋" w:eastAsia="仿宋" w:cs="仿宋"/>
          <w:color w:val="auto"/>
          <w:sz w:val="24"/>
          <w:highlight w:val="none"/>
        </w:rPr>
        <w:t>投标人不按招标文件的要求提供的投标文件，将视为没有实质性响应，可能导致该投标文件被拒绝，其风险应由投标人自行承担</w:t>
      </w:r>
      <w:r>
        <w:rPr>
          <w:rFonts w:ascii="仿宋" w:hAnsi="仿宋" w:eastAsia="仿宋" w:cs="仿宋"/>
          <w:color w:val="auto"/>
          <w:highlight w:val="none"/>
        </w:rPr>
        <w:t>。</w:t>
      </w:r>
    </w:p>
    <w:p w14:paraId="16E655AF">
      <w:pPr>
        <w:keepNext w:val="0"/>
        <w:keepLines w:val="0"/>
        <w:pageBreakBefore w:val="0"/>
        <w:tabs>
          <w:tab w:val="left" w:pos="3870"/>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注：复印件应加盖投标人公章</w:t>
      </w:r>
    </w:p>
    <w:p w14:paraId="07D18804">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3. 投标报价</w:t>
      </w:r>
    </w:p>
    <w:p w14:paraId="1E94E155">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3.1投标人应按招标文件中《开标一览表》等附表要求填写。</w:t>
      </w:r>
    </w:p>
    <w:p w14:paraId="735A02B1">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3.2</w:t>
      </w:r>
      <w:r>
        <w:rPr>
          <w:rFonts w:ascii="仿宋" w:hAnsi="仿宋" w:eastAsia="仿宋" w:cs="仿宋"/>
          <w:color w:val="auto"/>
          <w:sz w:val="24"/>
          <w:highlight w:val="none"/>
        </w:rPr>
        <w:t>报价为购买货物或服务需缴纳的所有税费及其他包括知识产权在内的一切相关费用。</w:t>
      </w:r>
    </w:p>
    <w:p w14:paraId="78F02822">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3.3招标文件未列明，而投标人认为必需的费用也需列入报价。</w:t>
      </w:r>
    </w:p>
    <w:p w14:paraId="747DCAF7">
      <w:pPr>
        <w:pStyle w:val="61"/>
        <w:keepNext w:val="0"/>
        <w:keepLines w:val="0"/>
        <w:pageBreakBefore w:val="0"/>
        <w:numPr>
          <w:ilvl w:val="0"/>
          <w:numId w:val="0"/>
        </w:numPr>
        <w:kinsoku/>
        <w:overflowPunct/>
        <w:autoSpaceDE/>
        <w:bidi w:val="0"/>
        <w:spacing w:line="440" w:lineRule="exact"/>
        <w:ind w:left="0"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3.5投标报价只允许有一个报价，有选择的报价将不予接受（除指定外）。</w:t>
      </w:r>
    </w:p>
    <w:p w14:paraId="47F6211C">
      <w:pPr>
        <w:pStyle w:val="61"/>
        <w:keepNext w:val="0"/>
        <w:keepLines w:val="0"/>
        <w:pageBreakBefore w:val="0"/>
        <w:numPr>
          <w:ilvl w:val="0"/>
          <w:numId w:val="0"/>
        </w:numPr>
        <w:kinsoku/>
        <w:overflowPunct/>
        <w:autoSpaceDE/>
        <w:bidi w:val="0"/>
        <w:spacing w:line="440" w:lineRule="exact"/>
        <w:ind w:left="0"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4.投标文件的有效期</w:t>
      </w:r>
    </w:p>
    <w:p w14:paraId="531585C7">
      <w:pPr>
        <w:pStyle w:val="61"/>
        <w:keepNext w:val="0"/>
        <w:keepLines w:val="0"/>
        <w:pageBreakBefore w:val="0"/>
        <w:numPr>
          <w:ilvl w:val="0"/>
          <w:numId w:val="0"/>
        </w:numPr>
        <w:tabs>
          <w:tab w:val="left" w:pos="454"/>
        </w:tabs>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4.1自投标截止日起45天投标书应保持有效。如采购人认为必要，可延长至总计最长不超过60天。有效期短于这个规定期限的投标将被拒绝。</w:t>
      </w:r>
    </w:p>
    <w:p w14:paraId="6B57B084">
      <w:pPr>
        <w:pStyle w:val="61"/>
        <w:keepNext w:val="0"/>
        <w:keepLines w:val="0"/>
        <w:pageBreakBefore w:val="0"/>
        <w:numPr>
          <w:ilvl w:val="0"/>
          <w:numId w:val="0"/>
        </w:numPr>
        <w:tabs>
          <w:tab w:val="left" w:pos="454"/>
        </w:tabs>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4.2在特殊情况下，招标人可与投标人协商延长投标书的有效期，这种要求和答复均以书面形式进行。</w:t>
      </w:r>
    </w:p>
    <w:p w14:paraId="5E0E0A7C">
      <w:pPr>
        <w:pStyle w:val="61"/>
        <w:keepNext w:val="0"/>
        <w:keepLines w:val="0"/>
        <w:pageBreakBefore w:val="0"/>
        <w:numPr>
          <w:ilvl w:val="0"/>
          <w:numId w:val="0"/>
        </w:numPr>
        <w:tabs>
          <w:tab w:val="left" w:pos="454"/>
        </w:tabs>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4.3同意延长有效期的投标人不能修改投标文件。</w:t>
      </w:r>
    </w:p>
    <w:p w14:paraId="14F6EDA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5.投标文件的份数和规定</w:t>
      </w:r>
    </w:p>
    <w:p w14:paraId="07EA469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5.1投标文件的正本需打印或用不褪色的墨水填写，不允许行间插字，并注明“正本”字样，投标文件正本除本招标须知中规定的可提供复印件外均须提供原件。副本为正本的复印件。</w:t>
      </w:r>
    </w:p>
    <w:p w14:paraId="5D58FC12">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5.2投标文件由“商务技术文件资料”和“报价文件资料”两部分文件组成，应按统一格式填写，装订成册。并在封面处明确注明“商务技术文件资料”或“报价文件资料”。</w:t>
      </w:r>
    </w:p>
    <w:p w14:paraId="57930080">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5.3投标文件一式五份，其中正本一份，副本四份。</w:t>
      </w:r>
    </w:p>
    <w:p w14:paraId="633115D4">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5.4投标文件须由投标人在规定位置盖章并由法定代表人或其授权代表签署，投标人应写全称。</w:t>
      </w:r>
    </w:p>
    <w:p w14:paraId="772958DF">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5.5投标文件不得涂改，若有修改错漏处，须加盖单位公章或者法定代表人或其授权代表签字或盖章。</w:t>
      </w:r>
    </w:p>
    <w:p w14:paraId="76AF312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5.6投标文件因字迹潦草或表达不清所引起的后果由投标人负责。</w:t>
      </w:r>
    </w:p>
    <w:p w14:paraId="1F1504BE">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5.7投标人应认真阅读招标文件中所有的内容。如果投标人编制的投标文件实质上不响应招标文件的要求，其投标文件将被招标人拒绝。</w:t>
      </w:r>
    </w:p>
    <w:p w14:paraId="3107D6F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5.8投标文件建议采用A4幅面，按顺序统一编目编码装订成册。提倡双面打印。</w:t>
      </w:r>
    </w:p>
    <w:p w14:paraId="3BD68AE5">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6. 投标文件的密封、盖章和签署</w:t>
      </w:r>
    </w:p>
    <w:p w14:paraId="21BAD60E">
      <w:pPr>
        <w:pStyle w:val="66"/>
        <w:keepNext w:val="0"/>
        <w:keepLines w:val="0"/>
        <w:pageBreakBefore w:val="0"/>
        <w:kinsoku/>
        <w:overflowPunct/>
        <w:autoSpaceDE/>
        <w:bidi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“商务技术文件资料”和“报价文件资料”</w:t>
      </w:r>
      <w:r>
        <w:rPr>
          <w:rFonts w:ascii="仿宋" w:hAnsi="仿宋" w:eastAsia="仿宋" w:cs="仿宋"/>
          <w:b/>
          <w:color w:val="auto"/>
          <w:sz w:val="24"/>
          <w:highlight w:val="none"/>
        </w:rPr>
        <w:t>应分两部分分别密封封装。</w:t>
      </w:r>
      <w:r>
        <w:rPr>
          <w:rFonts w:ascii="仿宋" w:hAnsi="仿宋" w:eastAsia="仿宋" w:cs="仿宋"/>
          <w:color w:val="auto"/>
          <w:sz w:val="24"/>
          <w:highlight w:val="none"/>
        </w:rPr>
        <w:t>各投标人在编制投标文件时请按照招标文件第六部分规定的格式进行，混乱的编排导致投标文件被误读或评标委员会查找不到有效文件是投标人的风险。并明确注明“商务技术文件资料或报价文件资料、项目名称、投标人名称”字样，同时封口处加盖骑缝单位公章。</w:t>
      </w:r>
    </w:p>
    <w:p w14:paraId="53EC0171">
      <w:pPr>
        <w:keepNext w:val="0"/>
        <w:keepLines w:val="0"/>
        <w:pageBreakBefore w:val="0"/>
        <w:widowControl/>
        <w:kinsoku/>
        <w:overflowPunct/>
        <w:autoSpaceDE/>
        <w:bidi w:val="0"/>
        <w:snapToGrid w:val="0"/>
        <w:spacing w:line="440" w:lineRule="exact"/>
        <w:textAlignment w:val="auto"/>
        <w:rPr>
          <w:rFonts w:ascii="仿宋" w:hAnsi="仿宋" w:eastAsia="仿宋" w:cs="仿宋"/>
          <w:b/>
          <w:color w:val="auto"/>
          <w:kern w:val="0"/>
          <w:sz w:val="24"/>
          <w:highlight w:val="none"/>
        </w:rPr>
      </w:pPr>
      <w:r>
        <w:rPr>
          <w:rFonts w:ascii="仿宋" w:hAnsi="仿宋" w:eastAsia="仿宋" w:cs="仿宋"/>
          <w:b/>
          <w:color w:val="auto"/>
          <w:sz w:val="24"/>
          <w:highlight w:val="none"/>
        </w:rPr>
        <w:t>7．</w:t>
      </w:r>
      <w:r>
        <w:rPr>
          <w:rFonts w:ascii="仿宋" w:hAnsi="仿宋" w:eastAsia="仿宋" w:cs="仿宋"/>
          <w:b/>
          <w:color w:val="auto"/>
          <w:kern w:val="0"/>
          <w:sz w:val="24"/>
          <w:highlight w:val="none"/>
        </w:rPr>
        <w:t>投标文件的补充和修改</w:t>
      </w:r>
    </w:p>
    <w:p w14:paraId="63B5489D">
      <w:pPr>
        <w:keepNext w:val="0"/>
        <w:keepLines w:val="0"/>
        <w:pageBreakBefore w:val="0"/>
        <w:widowControl/>
        <w:kinsoku/>
        <w:overflowPunct/>
        <w:autoSpaceDE/>
        <w:bidi w:val="0"/>
        <w:snapToGrid w:val="0"/>
        <w:spacing w:line="440" w:lineRule="exact"/>
        <w:ind w:firstLine="480"/>
        <w:textAlignment w:val="auto"/>
        <w:rPr>
          <w:rFonts w:ascii="仿宋" w:hAnsi="仿宋" w:eastAsia="仿宋" w:cs="仿宋"/>
          <w:color w:val="auto"/>
          <w:highlight w:val="none"/>
        </w:rPr>
      </w:pPr>
      <w:r>
        <w:rPr>
          <w:rFonts w:ascii="仿宋" w:hAnsi="仿宋" w:eastAsia="仿宋" w:cs="仿宋"/>
          <w:color w:val="auto"/>
          <w:kern w:val="0"/>
          <w:sz w:val="24"/>
          <w:highlight w:val="none"/>
        </w:rPr>
        <w:t>投标截止时间前，投标人可以书面形式向招标人提出对投标文件进行补充和修改，相应部分以最后的补充和修改为准。该书面材料应密封，</w:t>
      </w:r>
      <w:r>
        <w:rPr>
          <w:rFonts w:ascii="仿宋" w:hAnsi="仿宋" w:eastAsia="仿宋" w:cs="仿宋"/>
          <w:color w:val="auto"/>
          <w:sz w:val="24"/>
          <w:highlight w:val="none"/>
        </w:rPr>
        <w:t>并明确注明“</w:t>
      </w:r>
      <w:r>
        <w:rPr>
          <w:rFonts w:ascii="仿宋" w:hAnsi="仿宋" w:eastAsia="仿宋" w:cs="仿宋"/>
          <w:color w:val="auto"/>
          <w:kern w:val="0"/>
          <w:sz w:val="24"/>
          <w:highlight w:val="none"/>
        </w:rPr>
        <w:t>修改（或补充）商务技术文件资料或报价文件资料、项目名称、投标人名称</w:t>
      </w:r>
      <w:r>
        <w:rPr>
          <w:rFonts w:ascii="仿宋" w:hAnsi="仿宋" w:eastAsia="仿宋" w:cs="仿宋"/>
          <w:color w:val="auto"/>
          <w:sz w:val="24"/>
          <w:highlight w:val="none"/>
        </w:rPr>
        <w:t>”</w:t>
      </w:r>
      <w:r>
        <w:rPr>
          <w:rFonts w:ascii="仿宋" w:hAnsi="仿宋" w:eastAsia="仿宋" w:cs="仿宋"/>
          <w:color w:val="auto"/>
          <w:kern w:val="0"/>
          <w:sz w:val="24"/>
          <w:highlight w:val="none"/>
        </w:rPr>
        <w:t>字样</w:t>
      </w:r>
      <w:r>
        <w:rPr>
          <w:rFonts w:ascii="仿宋" w:hAnsi="仿宋" w:eastAsia="仿宋" w:cs="仿宋"/>
          <w:color w:val="auto"/>
          <w:sz w:val="24"/>
          <w:highlight w:val="none"/>
        </w:rPr>
        <w:t>，</w:t>
      </w:r>
      <w:r>
        <w:rPr>
          <w:rFonts w:ascii="仿宋" w:hAnsi="仿宋" w:eastAsia="仿宋" w:cs="仿宋"/>
          <w:color w:val="auto"/>
          <w:kern w:val="0"/>
          <w:sz w:val="24"/>
          <w:highlight w:val="none"/>
        </w:rPr>
        <w:t>同时</w:t>
      </w:r>
      <w:r>
        <w:rPr>
          <w:rFonts w:ascii="仿宋" w:hAnsi="仿宋" w:eastAsia="仿宋" w:cs="仿宋"/>
          <w:color w:val="auto"/>
          <w:sz w:val="24"/>
          <w:highlight w:val="none"/>
        </w:rPr>
        <w:t>封口处</w:t>
      </w:r>
      <w:r>
        <w:rPr>
          <w:rFonts w:ascii="仿宋" w:hAnsi="仿宋" w:eastAsia="仿宋" w:cs="仿宋"/>
          <w:color w:val="auto"/>
          <w:kern w:val="0"/>
          <w:sz w:val="24"/>
          <w:highlight w:val="none"/>
        </w:rPr>
        <w:t>由</w:t>
      </w:r>
      <w:r>
        <w:rPr>
          <w:rFonts w:ascii="仿宋" w:hAnsi="仿宋" w:eastAsia="仿宋" w:cs="仿宋"/>
          <w:color w:val="auto"/>
          <w:sz w:val="24"/>
          <w:highlight w:val="none"/>
        </w:rPr>
        <w:t>法定代表人或其授权代表签字或盖章</w:t>
      </w:r>
      <w:r>
        <w:rPr>
          <w:rFonts w:ascii="仿宋" w:hAnsi="仿宋" w:eastAsia="仿宋" w:cs="仿宋"/>
          <w:color w:val="auto"/>
          <w:kern w:val="0"/>
          <w:sz w:val="24"/>
          <w:highlight w:val="none"/>
        </w:rPr>
        <w:t>。</w:t>
      </w:r>
    </w:p>
    <w:p w14:paraId="7F2ACCF8">
      <w:pPr>
        <w:keepNext w:val="0"/>
        <w:keepLines w:val="0"/>
        <w:pageBreakBefore w:val="0"/>
        <w:kinsoku/>
        <w:overflowPunct/>
        <w:autoSpaceDE/>
        <w:bidi w:val="0"/>
        <w:spacing w:line="440" w:lineRule="exact"/>
        <w:jc w:val="center"/>
        <w:textAlignment w:val="auto"/>
        <w:rPr>
          <w:rFonts w:ascii="仿宋" w:hAnsi="仿宋" w:eastAsia="仿宋" w:cs="仿宋"/>
          <w:b/>
          <w:color w:val="auto"/>
          <w:sz w:val="32"/>
          <w:szCs w:val="32"/>
          <w:highlight w:val="none"/>
        </w:rPr>
      </w:pPr>
    </w:p>
    <w:p w14:paraId="2CD7D3DC">
      <w:pPr>
        <w:keepNext w:val="0"/>
        <w:keepLines w:val="0"/>
        <w:pageBreakBefore w:val="0"/>
        <w:kinsoku/>
        <w:overflowPunct/>
        <w:autoSpaceDE/>
        <w:bidi w:val="0"/>
        <w:spacing w:line="440" w:lineRule="exact"/>
        <w:jc w:val="center"/>
        <w:textAlignment w:val="auto"/>
        <w:rPr>
          <w:rFonts w:ascii="仿宋" w:hAnsi="仿宋" w:eastAsia="仿宋" w:cs="仿宋"/>
          <w:b/>
          <w:color w:val="auto"/>
          <w:sz w:val="32"/>
          <w:szCs w:val="32"/>
          <w:highlight w:val="none"/>
        </w:rPr>
      </w:pPr>
      <w:r>
        <w:rPr>
          <w:rFonts w:ascii="仿宋" w:hAnsi="仿宋" w:eastAsia="仿宋" w:cs="仿宋"/>
          <w:b/>
          <w:color w:val="auto"/>
          <w:sz w:val="32"/>
          <w:szCs w:val="32"/>
          <w:highlight w:val="none"/>
        </w:rPr>
        <w:t>三、开标和评标</w:t>
      </w:r>
    </w:p>
    <w:p w14:paraId="33B99018">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1．开标</w:t>
      </w:r>
    </w:p>
    <w:p w14:paraId="6030D423">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1.1 投标人的法定代表人或其授权代表可不出席开标会议。</w:t>
      </w:r>
    </w:p>
    <w:p w14:paraId="4F9D7B6B">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1.2 若投标人法定代表人或授权代表不在现场参加开标会议的，投标人需向招标代理机构工作人员告知其联系方式，以备询标等事宜。</w:t>
      </w:r>
    </w:p>
    <w:p w14:paraId="5D6DABD7">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2.开标会由采购代理机构主持。</w:t>
      </w:r>
    </w:p>
    <w:p w14:paraId="29C0C7AC">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3.投标文件启封前，投标人应书面提出对参加开标会对主持人、唱读人、记录人和监督人是否有回避的请求。</w:t>
      </w:r>
    </w:p>
    <w:p w14:paraId="0BCA9C06">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4．开标大会程序</w:t>
      </w:r>
    </w:p>
    <w:p w14:paraId="5BF2B31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4.1主持人宣布开标会开始，介绍到会单位和人员。</w:t>
      </w:r>
    </w:p>
    <w:p w14:paraId="6557BAD8">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4.2监督人代表检查投标文件密封情况。</w:t>
      </w:r>
    </w:p>
    <w:p w14:paraId="7F91046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4.3启封投标文件技术部分资料。</w:t>
      </w:r>
    </w:p>
    <w:p w14:paraId="34031D5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4.4评标委员会对技术标进行符合性评审。</w:t>
      </w:r>
    </w:p>
    <w:p w14:paraId="6504348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4.5主持人宣布技术标评审结果。</w:t>
      </w:r>
    </w:p>
    <w:p w14:paraId="2D7516DE">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4.6启封价格标，由唱读人当众宣读投标人名称、投标价格和投标文件的其他内容。未宣读的投标报价和招标文件未允许提供的备选投标方案等实质性内容，评标时不予承认。</w:t>
      </w:r>
    </w:p>
    <w:p w14:paraId="083ABBE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4.7评标委员会对投标文件价格文件部分进行评审，核准报价及计算价格分，根据得分排序确定中标候选人。</w:t>
      </w:r>
    </w:p>
    <w:p w14:paraId="6750BBC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4.8主持人向投标单位公布评标结果。</w:t>
      </w:r>
    </w:p>
    <w:p w14:paraId="1988A1A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5．评标</w:t>
      </w:r>
    </w:p>
    <w:p w14:paraId="415F55C1">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5.1评标委员会由招标采购单位依法组建，负责评标活动。评标委员会遵循公开、公平、公正、科学合理、竞争择优的原则。</w:t>
      </w:r>
    </w:p>
    <w:p w14:paraId="6372EF5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5.2评标委员会由采购人代表和有关方面的专家组成，成员人数为五人以上单数。</w:t>
      </w:r>
    </w:p>
    <w:p w14:paraId="6434DB2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5.3评标委员会负责对投标人资格的最终审定。</w:t>
      </w:r>
    </w:p>
    <w:p w14:paraId="12921019">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5.4评标委员会可以要求投标人对其投标文件中含义不明确的内容作必要的澄清或者说明，但澄清或者说明不得超过投标文件的范围或者改变投标文件的实质性内容。</w:t>
      </w:r>
    </w:p>
    <w:p w14:paraId="31F0CA64">
      <w:pPr>
        <w:keepNext w:val="0"/>
        <w:keepLines w:val="0"/>
        <w:pageBreakBefore w:val="0"/>
        <w:widowControl/>
        <w:kinsoku/>
        <w:overflowPunct/>
        <w:autoSpaceDE/>
        <w:bidi w:val="0"/>
        <w:snapToGrid w:val="0"/>
        <w:spacing w:line="440" w:lineRule="exact"/>
        <w:textAlignment w:val="auto"/>
        <w:rPr>
          <w:rFonts w:ascii="仿宋" w:hAnsi="仿宋" w:eastAsia="仿宋" w:cs="仿宋"/>
          <w:color w:val="auto"/>
          <w:kern w:val="0"/>
          <w:sz w:val="24"/>
          <w:highlight w:val="none"/>
        </w:rPr>
      </w:pPr>
      <w:r>
        <w:rPr>
          <w:rFonts w:ascii="仿宋" w:hAnsi="仿宋" w:eastAsia="仿宋" w:cs="仿宋"/>
          <w:color w:val="auto"/>
          <w:kern w:val="0"/>
          <w:sz w:val="24"/>
          <w:highlight w:val="none"/>
        </w:rPr>
        <w:t>5.5</w:t>
      </w:r>
      <w:r>
        <w:rPr>
          <w:rFonts w:ascii="仿宋" w:hAnsi="仿宋" w:eastAsia="仿宋" w:cs="仿宋"/>
          <w:color w:val="auto"/>
          <w:sz w:val="24"/>
          <w:highlight w:val="none"/>
        </w:rPr>
        <w:t>评标委员会</w:t>
      </w:r>
      <w:r>
        <w:rPr>
          <w:rFonts w:ascii="仿宋" w:hAnsi="仿宋" w:eastAsia="仿宋" w:cs="仿宋"/>
          <w:color w:val="auto"/>
          <w:kern w:val="0"/>
          <w:sz w:val="24"/>
          <w:highlight w:val="none"/>
        </w:rPr>
        <w:t>对投标文件的判定，只依据投标文件和招标文件内容本身，不依据任何外来证明。</w:t>
      </w:r>
    </w:p>
    <w:p w14:paraId="13A48B99">
      <w:pPr>
        <w:keepNext w:val="0"/>
        <w:keepLines w:val="0"/>
        <w:pageBreakBefore w:val="0"/>
        <w:widowControl/>
        <w:kinsoku/>
        <w:overflowPunct/>
        <w:autoSpaceDE/>
        <w:bidi w:val="0"/>
        <w:snapToGrid w:val="0"/>
        <w:spacing w:line="440" w:lineRule="exact"/>
        <w:textAlignment w:val="auto"/>
        <w:rPr>
          <w:rFonts w:ascii="仿宋" w:hAnsi="仿宋" w:eastAsia="仿宋" w:cs="仿宋"/>
          <w:color w:val="auto"/>
          <w:kern w:val="0"/>
          <w:sz w:val="24"/>
          <w:highlight w:val="none"/>
        </w:rPr>
      </w:pPr>
      <w:r>
        <w:rPr>
          <w:rFonts w:ascii="仿宋" w:hAnsi="仿宋" w:eastAsia="仿宋" w:cs="仿宋"/>
          <w:color w:val="auto"/>
          <w:sz w:val="24"/>
          <w:highlight w:val="none"/>
        </w:rPr>
        <w:t>5.6评标委员会不向落标方解释落标的原因，不退还投标文件。</w:t>
      </w:r>
    </w:p>
    <w:p w14:paraId="2EF05C8D">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6．投标文件的初审鉴定</w:t>
      </w:r>
    </w:p>
    <w:p w14:paraId="58B9C7C2">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6.1资格性审查</w:t>
      </w:r>
    </w:p>
    <w:p w14:paraId="62A82DB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6.1.1依据法律、法规和招标文件规定，评标委员会对投标人进行资格审查，以确定投标人是否具备投标资格。</w:t>
      </w:r>
    </w:p>
    <w:p w14:paraId="35F62012">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6.2符合性审查</w:t>
      </w:r>
    </w:p>
    <w:p w14:paraId="66F3DEFE">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5183995F">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6.3如果投标文件实质不响应招标文件的各项要求，评标委员会将予以拒绝，并且不允许投标人通过修改或撤销其不符合要求的差异或保留，使之成为具有实质性响应的投标。</w:t>
      </w:r>
    </w:p>
    <w:p w14:paraId="7704BCE8">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kern w:val="0"/>
          <w:sz w:val="24"/>
          <w:highlight w:val="none"/>
        </w:rPr>
        <w:t xml:space="preserve">7. </w:t>
      </w:r>
      <w:r>
        <w:rPr>
          <w:rFonts w:ascii="仿宋" w:hAnsi="仿宋" w:eastAsia="仿宋" w:cs="仿宋"/>
          <w:b/>
          <w:color w:val="auto"/>
          <w:sz w:val="24"/>
          <w:highlight w:val="none"/>
        </w:rPr>
        <w:t>投标文件报价出现前后不一致的，按照下列规定修正：</w:t>
      </w:r>
    </w:p>
    <w:p w14:paraId="0F5A0479">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7.1投标文件中开标一览表（报价表）内容与投标文件中相应内容不一致的，以开标一览表（报价表）为准；</w:t>
      </w:r>
    </w:p>
    <w:p w14:paraId="6777613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7.2大写金额和小写金额不一致的，以大写金额为准；</w:t>
      </w:r>
    </w:p>
    <w:p w14:paraId="6100B776">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7.3单价金额小数点或者百分比有明显错位的，以开标一览表的总价为准，并修改单价；</w:t>
      </w:r>
    </w:p>
    <w:p w14:paraId="5827267D">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7.4总价金额与按单价汇总金额不一致的，以单价金额计算结果为准。</w:t>
      </w:r>
    </w:p>
    <w:p w14:paraId="56099336">
      <w:pPr>
        <w:keepNext w:val="0"/>
        <w:keepLines w:val="0"/>
        <w:pageBreakBefore w:val="0"/>
        <w:kinsoku/>
        <w:overflowPunct/>
        <w:autoSpaceDE/>
        <w:bidi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同时出现两种以上不一致的，按照前款规定的顺序修正。</w:t>
      </w:r>
      <w:r>
        <w:rPr>
          <w:rFonts w:ascii="仿宋" w:hAnsi="仿宋" w:eastAsia="仿宋" w:cs="仿宋"/>
          <w:bCs/>
          <w:color w:val="auto"/>
          <w:sz w:val="24"/>
          <w:highlight w:val="none"/>
        </w:rPr>
        <w:t>修正后的报价</w:t>
      </w:r>
      <w:r>
        <w:rPr>
          <w:rFonts w:ascii="仿宋" w:hAnsi="仿宋" w:eastAsia="仿宋" w:cs="仿宋"/>
          <w:color w:val="auto"/>
          <w:sz w:val="24"/>
          <w:highlight w:val="none"/>
        </w:rPr>
        <w:t>经投标人确认后产生约束力，投标人不确认的，其投标无效。</w:t>
      </w:r>
    </w:p>
    <w:p w14:paraId="1B004256">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8.投标文件的评审、比较和否决</w:t>
      </w:r>
    </w:p>
    <w:p w14:paraId="4979E4C1">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8.1评标委员会将对在实质上响应招标文件要求的投标文件进行评估和比较。</w:t>
      </w:r>
    </w:p>
    <w:p w14:paraId="08D039A1">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8.2在评审过程中，评标委员会可以书面形式要求投标人就投标文件含义不明确的内容进行书面说明并提供相关材料，但不得超过投标文件的范围或者改变投标文件的实质性内容。</w:t>
      </w:r>
    </w:p>
    <w:p w14:paraId="4C8CFA9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8.3在评标过程中，如发现与招标文件要求相偏离的，评标委员会可对其偏离情形进行必要的核实。</w:t>
      </w:r>
    </w:p>
    <w:p w14:paraId="44BE82CC">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8.4在评审过程中，如属于实质性偏离或符合无效响应条件的，应当询问相关投标人，并可对其进行书面确认，但不允许对偏离条款进行补充、修正或撤回。</w:t>
      </w:r>
    </w:p>
    <w:p w14:paraId="6E220F4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8.5评标委员会依据招标文件规定的评标标准和方法，对投标文件进行评审和比较，提供书面评标报告，并按得分高低排序推荐中标候选供应商。得分相同的，按投标报价由低到高顺序排列。得分且投标报价相同的并列，抽签确定中标候选供应商。</w:t>
      </w:r>
    </w:p>
    <w:p w14:paraId="32CDDD9C">
      <w:pPr>
        <w:pStyle w:val="66"/>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9.投标文件的澄清</w:t>
      </w:r>
    </w:p>
    <w:p w14:paraId="20288054">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14:paraId="138D6DE9">
      <w:pPr>
        <w:pStyle w:val="66"/>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10．无效投标的情形</w:t>
      </w:r>
    </w:p>
    <w:p w14:paraId="311197FE">
      <w:pPr>
        <w:keepNext w:val="0"/>
        <w:keepLines w:val="0"/>
        <w:pageBreakBefore w:val="0"/>
        <w:tabs>
          <w:tab w:val="left" w:pos="4085"/>
        </w:tabs>
        <w:kinsoku/>
        <w:overflowPunct/>
        <w:autoSpaceDE/>
        <w:bidi w:val="0"/>
        <w:snapToGrid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投标文件有下列情形之一的作无效投标处理：</w:t>
      </w:r>
    </w:p>
    <w:p w14:paraId="0A1892F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10.1未按照招标文件规定要求密封封装、签署、盖章的；</w:t>
      </w:r>
    </w:p>
    <w:p w14:paraId="6A24A4C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10.2不具备招标文件中规定供应商投标资格要求的；</w:t>
      </w:r>
    </w:p>
    <w:p w14:paraId="53C2F9DD">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kern w:val="0"/>
          <w:sz w:val="24"/>
          <w:highlight w:val="none"/>
        </w:rPr>
      </w:pPr>
      <w:r>
        <w:rPr>
          <w:rFonts w:ascii="仿宋" w:hAnsi="仿宋" w:eastAsia="仿宋" w:cs="仿宋"/>
          <w:b/>
          <w:color w:val="auto"/>
          <w:sz w:val="24"/>
          <w:highlight w:val="none"/>
        </w:rPr>
        <w:t>10.3授权代表</w:t>
      </w:r>
      <w:r>
        <w:rPr>
          <w:rFonts w:ascii="仿宋" w:hAnsi="仿宋" w:eastAsia="仿宋" w:cs="仿宋"/>
          <w:b/>
          <w:color w:val="auto"/>
          <w:kern w:val="0"/>
          <w:sz w:val="24"/>
          <w:highlight w:val="none"/>
        </w:rPr>
        <w:t>无《法定代表人授权委托书》；</w:t>
      </w:r>
    </w:p>
    <w:p w14:paraId="338026B2">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kern w:val="0"/>
          <w:sz w:val="24"/>
          <w:highlight w:val="none"/>
        </w:rPr>
      </w:pPr>
      <w:r>
        <w:rPr>
          <w:rFonts w:ascii="仿宋" w:hAnsi="仿宋" w:eastAsia="仿宋" w:cs="仿宋"/>
          <w:b/>
          <w:color w:val="auto"/>
          <w:kern w:val="0"/>
          <w:sz w:val="24"/>
          <w:highlight w:val="none"/>
        </w:rPr>
        <w:t>10.4《法定代表人授权委托书》或《法定代表人身份证明书》填写不全、错误、未加盖公章(《法定代表人授权委托书》要求公章和签字或盖章缺一不可）；</w:t>
      </w:r>
    </w:p>
    <w:p w14:paraId="52E31736">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kern w:val="0"/>
          <w:sz w:val="24"/>
          <w:highlight w:val="none"/>
        </w:rPr>
        <w:t>10.5参加开标会的个体工商户提供的身份证明与营业执照不一致的；</w:t>
      </w:r>
    </w:p>
    <w:p w14:paraId="728E0F7F">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10.6投标文件中的投标函未加盖投标人的企业公章或填写不全的；</w:t>
      </w:r>
    </w:p>
    <w:p w14:paraId="28A31637">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kern w:val="0"/>
          <w:sz w:val="24"/>
          <w:highlight w:val="none"/>
        </w:rPr>
        <w:t>10.7</w:t>
      </w:r>
      <w:r>
        <w:rPr>
          <w:rFonts w:ascii="仿宋" w:hAnsi="仿宋" w:eastAsia="仿宋" w:cs="仿宋"/>
          <w:b/>
          <w:color w:val="auto"/>
          <w:sz w:val="24"/>
          <w:highlight w:val="none"/>
        </w:rPr>
        <w:t>投标人递交两份或两份以上内容不同的投标书，且未声明哪一份有效的；</w:t>
      </w:r>
    </w:p>
    <w:p w14:paraId="4A87DCD2">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kern w:val="0"/>
          <w:sz w:val="24"/>
          <w:highlight w:val="none"/>
        </w:rPr>
      </w:pPr>
      <w:r>
        <w:rPr>
          <w:rFonts w:ascii="仿宋" w:hAnsi="仿宋" w:eastAsia="仿宋" w:cs="仿宋"/>
          <w:b/>
          <w:color w:val="auto"/>
          <w:kern w:val="0"/>
          <w:sz w:val="24"/>
          <w:highlight w:val="none"/>
        </w:rPr>
        <w:t>10.8</w:t>
      </w:r>
      <w:r>
        <w:rPr>
          <w:rFonts w:ascii="仿宋" w:hAnsi="仿宋" w:eastAsia="仿宋" w:cs="仿宋"/>
          <w:b/>
          <w:color w:val="auto"/>
          <w:sz w:val="24"/>
          <w:highlight w:val="none"/>
        </w:rPr>
        <w:t>报价一经涂改，未在涂改处加盖投标单位公章或者未经法定代表人或其授权代表签字或盖章的；</w:t>
      </w:r>
    </w:p>
    <w:p w14:paraId="43F7D27F">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10.9因未按规定的格式填写，内容不全或主要实质性内容字迹模糊辨认不清,经评标委员会认定为无法评审的；</w:t>
      </w:r>
    </w:p>
    <w:p w14:paraId="12457625">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10.10出现同一标的物或本次招标产品(服务)内的主要产品(重要组成部分)出现技术、商务描述不一致或前后描述不一致，经评标委员会认定后为无法评审的；</w:t>
      </w:r>
    </w:p>
    <w:p w14:paraId="1D4B5050">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10.11货物或服务技术指标响应表不真实填写或弄虚作假的；</w:t>
      </w:r>
    </w:p>
    <w:p w14:paraId="547D49CA">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10.12对所提供的货物或服务内容未详细应答，致使其投标文件无法评审的；</w:t>
      </w:r>
    </w:p>
    <w:p w14:paraId="15B3C49E">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10.13投标文件有招标方不能接受的条件；</w:t>
      </w:r>
    </w:p>
    <w:p w14:paraId="1A6A5DC0">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p>
    <w:p w14:paraId="7A33908D">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10.15投标报价超过预算金额或上限价的；</w:t>
      </w:r>
    </w:p>
    <w:p w14:paraId="6B475EAF">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10.16投标文件“商务技术文件资料”部分中出现《开标一览表》或《投标报价明细表》相关内容的；</w:t>
      </w:r>
    </w:p>
    <w:p w14:paraId="5D9FB6ED">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10.17评标委员会认定有重大偏差或实质性不响应招标文件要求的；</w:t>
      </w:r>
    </w:p>
    <w:p w14:paraId="1969C6A9">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10.19其他违反法律、法规的情形。</w:t>
      </w:r>
    </w:p>
    <w:p w14:paraId="113ADB3C">
      <w:pPr>
        <w:keepNext w:val="0"/>
        <w:keepLines w:val="0"/>
        <w:pageBreakBefore w:val="0"/>
        <w:kinsoku/>
        <w:overflowPunct/>
        <w:autoSpaceDE/>
        <w:bidi w:val="0"/>
        <w:snapToGrid w:val="0"/>
        <w:spacing w:line="440" w:lineRule="exact"/>
        <w:textAlignment w:val="auto"/>
        <w:rPr>
          <w:rFonts w:ascii="仿宋" w:hAnsi="仿宋" w:eastAsia="仿宋" w:cs="仿宋"/>
          <w:b/>
          <w:color w:val="auto"/>
          <w:kern w:val="0"/>
          <w:sz w:val="24"/>
          <w:highlight w:val="none"/>
        </w:rPr>
      </w:pPr>
      <w:r>
        <w:rPr>
          <w:rFonts w:ascii="仿宋" w:hAnsi="仿宋" w:eastAsia="仿宋" w:cs="仿宋"/>
          <w:b/>
          <w:color w:val="auto"/>
          <w:kern w:val="0"/>
          <w:sz w:val="24"/>
          <w:highlight w:val="none"/>
        </w:rPr>
        <w:t>11. 评标过程保密</w:t>
      </w:r>
    </w:p>
    <w:p w14:paraId="1EB5B7AC">
      <w:pPr>
        <w:keepNext w:val="0"/>
        <w:keepLines w:val="0"/>
        <w:pageBreakBefore w:val="0"/>
        <w:kinsoku/>
        <w:overflowPunct/>
        <w:autoSpaceDE/>
        <w:bidi w:val="0"/>
        <w:snapToGrid w:val="0"/>
        <w:spacing w:line="440" w:lineRule="exact"/>
        <w:textAlignment w:val="auto"/>
        <w:rPr>
          <w:rFonts w:ascii="仿宋" w:hAnsi="仿宋" w:eastAsia="仿宋" w:cs="仿宋"/>
          <w:color w:val="auto"/>
          <w:kern w:val="0"/>
          <w:sz w:val="24"/>
          <w:highlight w:val="none"/>
        </w:rPr>
      </w:pPr>
      <w:r>
        <w:rPr>
          <w:rFonts w:ascii="仿宋" w:hAnsi="仿宋" w:eastAsia="仿宋" w:cs="仿宋"/>
          <w:color w:val="auto"/>
          <w:kern w:val="0"/>
          <w:sz w:val="24"/>
          <w:highlight w:val="none"/>
        </w:rPr>
        <w:t>11.1 开标之后，直到授予投标人合同止，凡是属于审查、澄清、评价和比较投标的有关资料以及授标意向及投标人的投标文件等，均不得向投标人或其他无关的人员透露。</w:t>
      </w:r>
    </w:p>
    <w:p w14:paraId="66B9B38C">
      <w:pPr>
        <w:keepNext w:val="0"/>
        <w:keepLines w:val="0"/>
        <w:pageBreakBefore w:val="0"/>
        <w:kinsoku/>
        <w:overflowPunct/>
        <w:autoSpaceDE/>
        <w:bidi w:val="0"/>
        <w:snapToGrid w:val="0"/>
        <w:spacing w:line="440" w:lineRule="exact"/>
        <w:textAlignment w:val="auto"/>
        <w:rPr>
          <w:rFonts w:ascii="仿宋" w:hAnsi="仿宋" w:eastAsia="仿宋" w:cs="仿宋"/>
          <w:b/>
          <w:color w:val="auto"/>
          <w:sz w:val="36"/>
          <w:szCs w:val="36"/>
          <w:highlight w:val="none"/>
        </w:rPr>
      </w:pPr>
      <w:r>
        <w:rPr>
          <w:rFonts w:ascii="仿宋" w:hAnsi="仿宋" w:eastAsia="仿宋" w:cs="仿宋"/>
          <w:color w:val="auto"/>
          <w:kern w:val="0"/>
          <w:sz w:val="24"/>
          <w:highlight w:val="none"/>
        </w:rPr>
        <w:t>11.2 在评标期间，投标人企图影响招标人或</w:t>
      </w:r>
      <w:r>
        <w:rPr>
          <w:rFonts w:ascii="仿宋" w:hAnsi="仿宋" w:eastAsia="仿宋" w:cs="仿宋"/>
          <w:color w:val="auto"/>
          <w:sz w:val="24"/>
          <w:highlight w:val="none"/>
        </w:rPr>
        <w:t>评标委员会</w:t>
      </w:r>
      <w:r>
        <w:rPr>
          <w:rFonts w:ascii="仿宋" w:hAnsi="仿宋" w:eastAsia="仿宋" w:cs="仿宋"/>
          <w:color w:val="auto"/>
          <w:kern w:val="0"/>
          <w:sz w:val="24"/>
          <w:highlight w:val="none"/>
        </w:rPr>
        <w:t>的任何活动，都将导致投标被拒绝，并由其承担相应的法律责任。</w:t>
      </w:r>
    </w:p>
    <w:p w14:paraId="44892788">
      <w:pPr>
        <w:pStyle w:val="66"/>
        <w:keepNext w:val="0"/>
        <w:keepLines w:val="0"/>
        <w:pageBreakBefore w:val="0"/>
        <w:kinsoku/>
        <w:overflowPunct/>
        <w:autoSpaceDE/>
        <w:bidi w:val="0"/>
        <w:spacing w:line="440" w:lineRule="exact"/>
        <w:ind w:firstLine="726"/>
        <w:jc w:val="center"/>
        <w:textAlignment w:val="auto"/>
        <w:rPr>
          <w:rFonts w:ascii="仿宋" w:hAnsi="仿宋" w:eastAsia="仿宋" w:cs="仿宋"/>
          <w:b/>
          <w:color w:val="auto"/>
          <w:sz w:val="36"/>
          <w:szCs w:val="36"/>
          <w:highlight w:val="none"/>
        </w:rPr>
      </w:pPr>
      <w:r>
        <w:rPr>
          <w:rFonts w:ascii="仿宋" w:hAnsi="仿宋" w:eastAsia="仿宋" w:cs="仿宋"/>
          <w:b/>
          <w:color w:val="auto"/>
          <w:sz w:val="36"/>
          <w:szCs w:val="36"/>
          <w:highlight w:val="none"/>
        </w:rPr>
        <w:t>四、授予合同</w:t>
      </w:r>
    </w:p>
    <w:p w14:paraId="29A041A8">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1．中标方式</w:t>
      </w:r>
    </w:p>
    <w:p w14:paraId="4B0B57EA">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1.1采用综合评分法。</w:t>
      </w:r>
    </w:p>
    <w:p w14:paraId="3B72E31B">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2.中标条件</w:t>
      </w:r>
    </w:p>
    <w:p w14:paraId="5CDC29D0">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2.1投标文件基本符合招标文件要求；</w:t>
      </w:r>
    </w:p>
    <w:p w14:paraId="6F07148A">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2.2投标人有很好的执行合同的能力；</w:t>
      </w:r>
    </w:p>
    <w:p w14:paraId="03F9C207">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2.3实施方案最合理并对招标人最为有利，最大限度满足招标文件的要求；</w:t>
      </w:r>
    </w:p>
    <w:p w14:paraId="4FE717F0">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2.4投标人能够提供质量技术、商务经济占综合优势的系统及服务。</w:t>
      </w:r>
    </w:p>
    <w:p w14:paraId="0C38747C">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2.5招标人将把中标通知书授予最佳投标者，但最低价不是中标的绝对保证。</w:t>
      </w:r>
    </w:p>
    <w:p w14:paraId="08D8047E">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3．中标通知</w:t>
      </w:r>
    </w:p>
    <w:p w14:paraId="618B113C">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szCs w:val="24"/>
          <w:highlight w:val="none"/>
        </w:rPr>
      </w:pPr>
      <w:r>
        <w:rPr>
          <w:rFonts w:ascii="仿宋" w:hAnsi="仿宋" w:eastAsia="仿宋" w:cs="仿宋"/>
          <w:color w:val="auto"/>
          <w:szCs w:val="24"/>
          <w:highlight w:val="none"/>
        </w:rPr>
        <w:t>3.1</w:t>
      </w:r>
      <w:r>
        <w:rPr>
          <w:rFonts w:ascii="仿宋" w:hAnsi="仿宋" w:eastAsia="仿宋" w:cs="仿宋"/>
          <w:color w:val="auto"/>
          <w:highlight w:val="none"/>
        </w:rPr>
        <w:t>采购代理机构将在中标供应商确定后，发出中标通知书</w:t>
      </w:r>
      <w:r>
        <w:rPr>
          <w:rFonts w:ascii="仿宋" w:hAnsi="仿宋" w:eastAsia="仿宋" w:cs="仿宋"/>
          <w:color w:val="auto"/>
          <w:kern w:val="0"/>
          <w:szCs w:val="24"/>
          <w:highlight w:val="none"/>
        </w:rPr>
        <w:t>。</w:t>
      </w:r>
    </w:p>
    <w:p w14:paraId="0856F76B">
      <w:pPr>
        <w:keepNext w:val="0"/>
        <w:keepLines w:val="0"/>
        <w:pageBreakBefore w:val="0"/>
        <w:widowControl w:val="0"/>
        <w:tabs>
          <w:tab w:val="left" w:pos="0"/>
        </w:tabs>
        <w:kinsoku/>
        <w:overflowPunct/>
        <w:autoSpaceDE/>
        <w:bidi w:val="0"/>
        <w:snapToGrid/>
        <w:spacing w:line="440" w:lineRule="exact"/>
        <w:textAlignment w:val="auto"/>
        <w:rPr>
          <w:rFonts w:ascii="仿宋" w:hAnsi="仿宋" w:eastAsia="仿宋" w:cs="仿宋"/>
          <w:color w:val="auto"/>
          <w:kern w:val="0"/>
          <w:sz w:val="24"/>
          <w:highlight w:val="none"/>
          <w:lang w:val="zh-CN"/>
        </w:rPr>
      </w:pPr>
      <w:r>
        <w:rPr>
          <w:rFonts w:ascii="仿宋" w:hAnsi="仿宋" w:eastAsia="仿宋" w:cs="仿宋"/>
          <w:color w:val="auto"/>
          <w:sz w:val="24"/>
          <w:highlight w:val="none"/>
        </w:rPr>
        <w:t>3.2在采购代理机构发出中标通知书前，中标供应商有违反有关法律法规和本项目要求行为的，则取消该投标人的中标资格</w:t>
      </w:r>
      <w:r>
        <w:rPr>
          <w:rFonts w:ascii="仿宋" w:hAnsi="仿宋" w:eastAsia="仿宋" w:cs="仿宋"/>
          <w:color w:val="auto"/>
          <w:kern w:val="0"/>
          <w:sz w:val="24"/>
          <w:highlight w:val="none"/>
          <w:lang w:val="zh-CN"/>
        </w:rPr>
        <w:t>。</w:t>
      </w:r>
    </w:p>
    <w:p w14:paraId="5098015E">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3.3采购代理机构对中标结果不作任何说明和解释，也不回答任何提问。</w:t>
      </w:r>
    </w:p>
    <w:p w14:paraId="6A01DC19">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4．履约保证金</w:t>
      </w:r>
    </w:p>
    <w:p w14:paraId="7ECC2CA4">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highlight w:val="none"/>
        </w:rPr>
      </w:pPr>
      <w:r>
        <w:rPr>
          <w:rFonts w:ascii="仿宋" w:hAnsi="仿宋" w:eastAsia="仿宋" w:cs="仿宋"/>
          <w:color w:val="auto"/>
          <w:highlight w:val="none"/>
        </w:rPr>
        <w:t>3.1采购人在签订合同时，按合同法规定可向中标人收取不高于中标额的</w:t>
      </w:r>
      <w:r>
        <w:rPr>
          <w:rFonts w:ascii="仿宋" w:hAnsi="仿宋" w:eastAsia="仿宋" w:cs="仿宋"/>
          <w:color w:val="auto"/>
          <w:highlight w:val="none"/>
          <w:lang w:val="en-US" w:eastAsia="zh-CN"/>
        </w:rPr>
        <w:t>1</w:t>
      </w:r>
      <w:r>
        <w:rPr>
          <w:rFonts w:ascii="仿宋" w:hAnsi="仿宋" w:eastAsia="仿宋" w:cs="仿宋"/>
          <w:color w:val="auto"/>
          <w:highlight w:val="none"/>
        </w:rPr>
        <w:t>％的履约保证金，采购人不得以供应商事先提交履约保证金作为签订合同的条件。鼓励采购人根据项目特点、供应商诚信等情况免收履约保证金或降低缴纳比例。</w:t>
      </w:r>
    </w:p>
    <w:p w14:paraId="584F62DD">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highlight w:val="none"/>
        </w:rPr>
      </w:pPr>
      <w:r>
        <w:rPr>
          <w:rFonts w:ascii="仿宋" w:hAnsi="仿宋" w:eastAsia="仿宋" w:cs="仿宋"/>
          <w:color w:val="auto"/>
          <w:highlight w:val="none"/>
        </w:rPr>
        <w:t>3.2供应商在履行完合同约定事项后，采购人应及时退还履约保证金。</w:t>
      </w:r>
    </w:p>
    <w:p w14:paraId="3F584D69">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highlight w:val="none"/>
        </w:rPr>
      </w:pPr>
      <w:r>
        <w:rPr>
          <w:rFonts w:ascii="仿宋" w:hAnsi="仿宋" w:eastAsia="仿宋" w:cs="仿宋"/>
          <w:color w:val="auto"/>
          <w:highlight w:val="none"/>
        </w:rPr>
        <w:t>3.3供应商以银行、保险公司出具保函形式提交履约保证金的，采购人不得拒收。</w:t>
      </w:r>
    </w:p>
    <w:p w14:paraId="1662A299">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5．合同备案</w:t>
      </w:r>
    </w:p>
    <w:p w14:paraId="4AB9DE1B">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5.1中标人应当在中标通知书发出之日起30日内与采购人签订合同，自采购合同签订之日起五个工作日内，将采购合同复印件拿到浙江泛亚工程咨询有限公司备案。</w:t>
      </w:r>
    </w:p>
    <w:p w14:paraId="1378386B">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5.2未领取中标通知书，采购双方自行签订的合同不予备案。</w:t>
      </w:r>
    </w:p>
    <w:p w14:paraId="77503F53">
      <w:pPr>
        <w:pStyle w:val="66"/>
        <w:spacing w:line="288" w:lineRule="auto"/>
        <w:rPr>
          <w:rFonts w:ascii="仿宋" w:hAnsi="仿宋" w:eastAsia="仿宋" w:cs="仿宋"/>
          <w:b/>
          <w:color w:val="auto"/>
          <w:sz w:val="36"/>
          <w:szCs w:val="36"/>
          <w:highlight w:val="none"/>
        </w:rPr>
      </w:pPr>
    </w:p>
    <w:p w14:paraId="511FA8F8">
      <w:pPr>
        <w:pStyle w:val="66"/>
        <w:spacing w:line="288" w:lineRule="auto"/>
        <w:jc w:val="center"/>
        <w:rPr>
          <w:rFonts w:ascii="仿宋" w:hAnsi="仿宋" w:eastAsia="仿宋" w:cs="仿宋"/>
          <w:b/>
          <w:color w:val="auto"/>
          <w:sz w:val="36"/>
          <w:szCs w:val="36"/>
          <w:highlight w:val="none"/>
        </w:rPr>
      </w:pPr>
    </w:p>
    <w:p w14:paraId="6D0388D7">
      <w:pPr>
        <w:pStyle w:val="66"/>
        <w:spacing w:line="288" w:lineRule="auto"/>
        <w:jc w:val="center"/>
        <w:rPr>
          <w:rFonts w:ascii="仿宋" w:hAnsi="仿宋" w:eastAsia="仿宋" w:cs="仿宋"/>
          <w:b/>
          <w:color w:val="auto"/>
          <w:sz w:val="36"/>
          <w:szCs w:val="36"/>
          <w:highlight w:val="none"/>
        </w:rPr>
      </w:pPr>
    </w:p>
    <w:p w14:paraId="31E366D3">
      <w:pPr>
        <w:pStyle w:val="66"/>
        <w:spacing w:line="288" w:lineRule="auto"/>
        <w:jc w:val="center"/>
        <w:rPr>
          <w:rFonts w:ascii="仿宋" w:hAnsi="仿宋" w:eastAsia="仿宋" w:cs="仿宋"/>
          <w:b/>
          <w:color w:val="auto"/>
          <w:sz w:val="36"/>
          <w:szCs w:val="36"/>
          <w:highlight w:val="none"/>
        </w:rPr>
      </w:pPr>
    </w:p>
    <w:p w14:paraId="3918320F">
      <w:pPr>
        <w:pStyle w:val="66"/>
        <w:spacing w:line="288" w:lineRule="auto"/>
        <w:jc w:val="center"/>
        <w:rPr>
          <w:rFonts w:ascii="仿宋" w:hAnsi="仿宋" w:eastAsia="仿宋" w:cs="仿宋"/>
          <w:b/>
          <w:color w:val="auto"/>
          <w:sz w:val="36"/>
          <w:szCs w:val="36"/>
          <w:highlight w:val="none"/>
        </w:rPr>
      </w:pPr>
    </w:p>
    <w:p w14:paraId="5138FF31">
      <w:pPr>
        <w:pStyle w:val="66"/>
        <w:spacing w:line="288" w:lineRule="auto"/>
        <w:jc w:val="both"/>
        <w:rPr>
          <w:rFonts w:ascii="仿宋" w:hAnsi="仿宋" w:eastAsia="仿宋" w:cs="仿宋"/>
          <w:b/>
          <w:color w:val="auto"/>
          <w:sz w:val="36"/>
          <w:szCs w:val="36"/>
          <w:highlight w:val="none"/>
        </w:rPr>
      </w:pPr>
    </w:p>
    <w:p w14:paraId="0F188907">
      <w:pPr>
        <w:pStyle w:val="66"/>
        <w:spacing w:line="276"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第三部分 项目技术规范和服务要求</w:t>
      </w:r>
    </w:p>
    <w:p w14:paraId="3044F64F">
      <w:pPr>
        <w:spacing w:line="440" w:lineRule="exact"/>
        <w:rPr>
          <w:rFonts w:ascii="仿宋" w:hAnsi="仿宋" w:eastAsia="仿宋" w:cs="仿宋"/>
          <w:b/>
          <w:color w:val="auto"/>
          <w:sz w:val="24"/>
          <w:szCs w:val="36"/>
          <w:highlight w:val="none"/>
          <w:u w:val="wave"/>
        </w:rPr>
      </w:pPr>
    </w:p>
    <w:p w14:paraId="0684DEEB">
      <w:pPr>
        <w:keepNext w:val="0"/>
        <w:keepLines w:val="0"/>
        <w:pageBreakBefore w:val="0"/>
        <w:widowControl w:val="0"/>
        <w:kinsoku/>
        <w:overflowPunct/>
        <w:autoSpaceDE/>
        <w:bidi w:val="0"/>
        <w:spacing w:line="440" w:lineRule="exac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u w:val="wave"/>
        </w:rPr>
        <w:t>相关声明</w:t>
      </w:r>
      <w:r>
        <w:rPr>
          <w:rFonts w:ascii="仿宋" w:hAnsi="仿宋" w:eastAsia="仿宋" w:cs="仿宋"/>
          <w:b/>
          <w:color w:val="auto"/>
          <w:sz w:val="24"/>
          <w:szCs w:val="24"/>
          <w:highlight w:val="none"/>
        </w:rPr>
        <w:t>：</w:t>
      </w:r>
      <w:r>
        <w:rPr>
          <w:rFonts w:ascii="仿宋" w:hAnsi="仿宋" w:eastAsia="仿宋" w:cs="仿宋"/>
          <w:b/>
          <w:color w:val="auto"/>
          <w:sz w:val="24"/>
          <w:szCs w:val="24"/>
          <w:highlight w:val="none"/>
          <w:u w:val="wave"/>
        </w:rPr>
        <w:t>以下1-7条款如标段内另有说明的</w:t>
      </w:r>
      <w:r>
        <w:rPr>
          <w:rFonts w:ascii="仿宋" w:hAnsi="仿宋" w:eastAsia="仿宋" w:cs="仿宋"/>
          <w:b/>
          <w:color w:val="auto"/>
          <w:sz w:val="24"/>
          <w:szCs w:val="24"/>
          <w:highlight w:val="none"/>
        </w:rPr>
        <w:t>，</w:t>
      </w:r>
      <w:r>
        <w:rPr>
          <w:rFonts w:ascii="仿宋" w:hAnsi="仿宋" w:eastAsia="仿宋" w:cs="仿宋"/>
          <w:b/>
          <w:color w:val="auto"/>
          <w:sz w:val="24"/>
          <w:szCs w:val="24"/>
          <w:highlight w:val="none"/>
          <w:u w:val="wave"/>
        </w:rPr>
        <w:t>则按标内要求执行</w:t>
      </w:r>
      <w:r>
        <w:rPr>
          <w:rFonts w:ascii="仿宋" w:hAnsi="仿宋" w:eastAsia="仿宋" w:cs="仿宋"/>
          <w:b/>
          <w:color w:val="auto"/>
          <w:sz w:val="24"/>
          <w:szCs w:val="24"/>
          <w:highlight w:val="none"/>
        </w:rPr>
        <w:t>。</w:t>
      </w:r>
    </w:p>
    <w:p w14:paraId="18AC9DE3">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1.设备（材料）要求</w:t>
      </w:r>
    </w:p>
    <w:p w14:paraId="40FD2A7C">
      <w:pPr>
        <w:keepNext w:val="0"/>
        <w:keepLines w:val="0"/>
        <w:pageBreakBefore w:val="0"/>
        <w:widowControl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1.1投标人投标提供的设备必须是厂商原装的、全新的，型号、性能及指标符合国家及招标文件提出的有关技术、质量、安全标准。</w:t>
      </w:r>
    </w:p>
    <w:p w14:paraId="565B62C5">
      <w:pPr>
        <w:keepNext w:val="0"/>
        <w:keepLines w:val="0"/>
        <w:pageBreakBefore w:val="0"/>
        <w:widowControl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1.2所有设备在开箱检验时必须完好，无破损，配置与装箱单相符。数量、质量及性能不低于本需求书中提出的要求。</w:t>
      </w:r>
    </w:p>
    <w:p w14:paraId="2EADD667">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1.3设备外观清洁，标记编号以及盘面显示等字体清晰，明确。铭牌、使用指示、警告指示应以中文或英文及易懂的通用符号来表示；应准确无误地表明设备之型号、规格、制造厂及生产或出厂日期。</w:t>
      </w:r>
    </w:p>
    <w:p w14:paraId="2E1691EF">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1.4对于影响设备正常工作的必要组成部分，无论在技术规范中指出与否，投标人都应提供并在投标文件中明确列出。</w:t>
      </w:r>
    </w:p>
    <w:p w14:paraId="5E0DC9C8">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1.5所有货物提供出厂合格证等质量证明文件，国外生产的必须有合法的进货渠道证明，如海关报关单、原产地证明、商检证明等。</w:t>
      </w:r>
    </w:p>
    <w:p w14:paraId="4AF4B1E7">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1.6所有货物到现场安装使用前，招标人将进行抽样检验或试验。</w:t>
      </w:r>
    </w:p>
    <w:p w14:paraId="44D4D074">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2.数量调整</w:t>
      </w:r>
    </w:p>
    <w:p w14:paraId="6B8112E2">
      <w:pPr>
        <w:pStyle w:val="84"/>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招标人保留在签约时调整部分方案及定购设备数量和服务的权力，投标人应对系统方案中设备和服务明细报价，按投标单价不变的前提下进行调整，双方不得拒绝。</w:t>
      </w:r>
    </w:p>
    <w:p w14:paraId="1E88CC8A">
      <w:pPr>
        <w:pStyle w:val="84"/>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如遇本次招标没有涉及的设备或服务时，由中标人提供申请，招标人确认后实施。</w:t>
      </w:r>
    </w:p>
    <w:p w14:paraId="6F13F2CA">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3.安装及调试、验收</w:t>
      </w:r>
    </w:p>
    <w:p w14:paraId="7070DC1A">
      <w:pPr>
        <w:pStyle w:val="84"/>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中标人应派经招标人认可的有经验和能力、具有相应资质的技术人员，负责系统设备安装工作，在设备安装期间应充分了解设备安装进度要求，解决安装中出现的技术问题。</w:t>
      </w:r>
    </w:p>
    <w:p w14:paraId="41568A79">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3.1中标人负责设备的安装、调试。</w:t>
      </w:r>
    </w:p>
    <w:p w14:paraId="14C26064">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3.2调试所需专用工具设施物料由中标人自备、自费运到现场，完工后自费搬走。</w:t>
      </w:r>
    </w:p>
    <w:p w14:paraId="249287B9">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3.3安装完成后，进行调试、验收按国家有关规范标准（国家无验收规范标准的按双方合同规定的要求）进行。</w:t>
      </w:r>
    </w:p>
    <w:p w14:paraId="0157CC88">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3.4设备的拆箱、通电、调试等各项工作由中标人负责，但必须在招标人指定人员的参与下进行。在实际实施前必须先经招标人同意方可进行。调试的原始记录须经各方签字后作为验收的文件之一。</w:t>
      </w:r>
    </w:p>
    <w:p w14:paraId="3463935C">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3.5所有的招标设备应按照国家有关技术标准在制造厂检查和试验合格，以表明其运行性能、安全性能以及设备材料和结构在电气、机械上的完整性。</w:t>
      </w:r>
    </w:p>
    <w:p w14:paraId="6BE1CA5A">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4.技术培训</w:t>
      </w:r>
    </w:p>
    <w:p w14:paraId="7DA7CF96">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4.1中标人须对招标人的技术人员培训。投标人须在投标文件中提供详细的培训计划，包括培训内容、培训时间、培训费用等。</w:t>
      </w:r>
    </w:p>
    <w:p w14:paraId="5AEFC3D4">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4.2中标人提供的负责培训的人员应具备同类设备五年以上的经验。</w:t>
      </w:r>
    </w:p>
    <w:p w14:paraId="4E0AE734">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 xml:space="preserve">4.3技术培训费用应包含在投标总价中。    </w:t>
      </w:r>
    </w:p>
    <w:p w14:paraId="25E1BAB2">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4.4技术培训至少应包括下列内容：</w:t>
      </w:r>
    </w:p>
    <w:p w14:paraId="6024BBB1">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4.4.1原理、构成和功能的描述。</w:t>
      </w:r>
    </w:p>
    <w:p w14:paraId="4F24D656">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4.4.2常见故障的处理或排除。</w:t>
      </w:r>
    </w:p>
    <w:p w14:paraId="54E00D1F">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4.4.3各系统部件（设备）的检查、调整和维护。</w:t>
      </w:r>
    </w:p>
    <w:p w14:paraId="61BCAA7E">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4.4.4对使用者关于设备基本操作技能的培训。</w:t>
      </w:r>
    </w:p>
    <w:p w14:paraId="01CAAFF5">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b/>
          <w:color w:val="auto"/>
          <w:sz w:val="24"/>
          <w:szCs w:val="24"/>
          <w:highlight w:val="none"/>
        </w:rPr>
      </w:pPr>
      <w:r>
        <w:rPr>
          <w:rFonts w:ascii="仿宋" w:hAnsi="仿宋" w:eastAsia="仿宋" w:cs="Times New Roman"/>
          <w:b/>
          <w:color w:val="auto"/>
          <w:kern w:val="2"/>
          <w:sz w:val="24"/>
          <w:szCs w:val="24"/>
          <w:highlight w:val="none"/>
          <w:lang w:val="en-US" w:eastAsia="zh-CN" w:bidi="ar-SA"/>
        </w:rPr>
        <w:t>5.</w:t>
      </w:r>
      <w:r>
        <w:rPr>
          <w:rFonts w:ascii="仿宋" w:hAnsi="仿宋" w:eastAsia="仿宋" w:cs="仿宋"/>
          <w:b/>
          <w:color w:val="auto"/>
          <w:sz w:val="24"/>
          <w:szCs w:val="24"/>
          <w:highlight w:val="none"/>
        </w:rPr>
        <w:t>售后服务</w:t>
      </w:r>
    </w:p>
    <w:p w14:paraId="3B30A71A">
      <w:pPr>
        <w:pStyle w:val="62"/>
        <w:keepNext w:val="0"/>
        <w:keepLines w:val="0"/>
        <w:pageBreakBefore w:val="0"/>
        <w:kinsoku/>
        <w:overflowPunct/>
        <w:autoSpaceDE/>
        <w:bidi w:val="0"/>
        <w:spacing w:line="440" w:lineRule="exact"/>
        <w:ind w:firstLine="0"/>
        <w:textAlignment w:val="auto"/>
        <w:rPr>
          <w:rFonts w:ascii="仿宋" w:hAnsi="仿宋" w:eastAsia="仿宋" w:cs="仿宋"/>
          <w:color w:val="auto"/>
          <w:sz w:val="24"/>
          <w:szCs w:val="24"/>
          <w:highlight w:val="none"/>
        </w:rPr>
      </w:pPr>
      <w:r>
        <w:rPr>
          <w:rFonts w:ascii="仿宋" w:hAnsi="仿宋" w:eastAsia="仿宋" w:cs="仿宋"/>
          <w:color w:val="auto"/>
          <w:sz w:val="24"/>
          <w:highlight w:val="none"/>
        </w:rPr>
        <w:t>★</w:t>
      </w:r>
      <w:r>
        <w:rPr>
          <w:rFonts w:ascii="仿宋" w:hAnsi="仿宋" w:eastAsia="仿宋" w:cs="仿宋"/>
          <w:color w:val="auto"/>
          <w:sz w:val="24"/>
          <w:szCs w:val="24"/>
          <w:highlight w:val="none"/>
        </w:rPr>
        <w:t>5.1投标人须提供经调试、试运行、验收合格后至少3年的质保期(投标人可根据自身实力作出更长时间的质保承诺)。在此期间，投标人应免费处理因质量发生的故障，并进行正常保养。</w:t>
      </w:r>
    </w:p>
    <w:p w14:paraId="67A7D9BB">
      <w:pPr>
        <w:pStyle w:val="2"/>
        <w:rPr>
          <w:color w:val="auto"/>
          <w:highlight w:val="none"/>
        </w:rPr>
      </w:pPr>
      <w:r>
        <w:rPr>
          <w:rFonts w:ascii="仿宋" w:hAnsi="仿宋" w:eastAsia="仿宋" w:cs="仿宋"/>
          <w:color w:val="auto"/>
          <w:sz w:val="24"/>
          <w:highlight w:val="none"/>
        </w:rPr>
        <w:t>★</w:t>
      </w:r>
      <w:r>
        <w:rPr>
          <w:rFonts w:ascii="仿宋" w:hAnsi="仿宋" w:eastAsia="仿宋" w:cs="仿宋"/>
          <w:color w:val="auto"/>
          <w:sz w:val="24"/>
          <w:szCs w:val="24"/>
          <w:highlight w:val="none"/>
        </w:rPr>
        <w:t>5.2中标人必须有可靠的售后服务保障点，能提供正常的技术、备品备件服务。中标人在接到招标人通知后，</w:t>
      </w:r>
      <w:r>
        <w:rPr>
          <w:rFonts w:ascii="仿宋" w:hAnsi="仿宋" w:eastAsia="仿宋" w:cs="仿宋"/>
          <w:bCs/>
          <w:iCs/>
          <w:color w:val="auto"/>
          <w:sz w:val="24"/>
          <w:szCs w:val="24"/>
          <w:highlight w:val="none"/>
        </w:rPr>
        <w:t>接到通知后1小时内响应</w:t>
      </w:r>
      <w:r>
        <w:rPr>
          <w:rFonts w:hint="eastAsia" w:ascii="仿宋" w:hAnsi="仿宋" w:eastAsia="仿宋" w:cs="仿宋"/>
          <w:bCs/>
          <w:iCs/>
          <w:color w:val="auto"/>
          <w:sz w:val="24"/>
          <w:szCs w:val="24"/>
          <w:highlight w:val="none"/>
          <w:lang w:eastAsia="zh-CN"/>
        </w:rPr>
        <w:t>，</w:t>
      </w:r>
      <w:r>
        <w:rPr>
          <w:rFonts w:ascii="仿宋" w:hAnsi="仿宋" w:eastAsia="仿宋" w:cs="仿宋"/>
          <w:bCs/>
          <w:iCs/>
          <w:color w:val="auto"/>
          <w:sz w:val="24"/>
          <w:szCs w:val="24"/>
          <w:highlight w:val="none"/>
        </w:rPr>
        <w:t>一般问题原则上</w:t>
      </w:r>
      <w:r>
        <w:rPr>
          <w:rFonts w:ascii="仿宋" w:hAnsi="仿宋" w:eastAsia="仿宋" w:cs="仿宋"/>
          <w:color w:val="auto"/>
          <w:sz w:val="24"/>
          <w:szCs w:val="24"/>
          <w:highlight w:val="none"/>
        </w:rPr>
        <w:t>6小时内派人赴现场处理设备质量问题</w:t>
      </w:r>
      <w:r>
        <w:rPr>
          <w:rFonts w:hint="eastAsia" w:ascii="仿宋" w:hAnsi="仿宋" w:eastAsia="仿宋" w:cs="仿宋"/>
          <w:color w:val="auto"/>
          <w:sz w:val="24"/>
          <w:szCs w:val="24"/>
          <w:highlight w:val="none"/>
          <w:lang w:eastAsia="zh-CN"/>
        </w:rPr>
        <w:t>，</w:t>
      </w:r>
      <w:r>
        <w:rPr>
          <w:rFonts w:ascii="仿宋" w:hAnsi="仿宋" w:eastAsia="仿宋" w:cs="仿宋"/>
          <w:bCs/>
          <w:iCs/>
          <w:color w:val="auto"/>
          <w:sz w:val="24"/>
          <w:szCs w:val="24"/>
          <w:highlight w:val="none"/>
        </w:rPr>
        <w:t>复杂问题8小时内解决，</w:t>
      </w:r>
      <w:r>
        <w:rPr>
          <w:rFonts w:ascii="仿宋" w:hAnsi="仿宋" w:eastAsia="仿宋" w:cs="仿宋"/>
          <w:color w:val="auto"/>
          <w:sz w:val="24"/>
          <w:szCs w:val="24"/>
          <w:highlight w:val="none"/>
        </w:rPr>
        <w:t>24小时内不能修复的，则无偿提供备机或备用零件供采购人使用</w:t>
      </w:r>
      <w:r>
        <w:rPr>
          <w:rFonts w:hint="eastAsia" w:ascii="仿宋" w:hAnsi="仿宋" w:eastAsia="仿宋" w:cs="仿宋"/>
          <w:color w:val="auto"/>
          <w:sz w:val="24"/>
          <w:szCs w:val="24"/>
          <w:highlight w:val="none"/>
          <w:lang w:eastAsia="zh-CN"/>
        </w:rPr>
        <w:t>，</w:t>
      </w:r>
      <w:r>
        <w:rPr>
          <w:rFonts w:ascii="仿宋" w:hAnsi="仿宋" w:eastAsia="仿宋" w:cs="仿宋"/>
          <w:bCs/>
          <w:iCs/>
          <w:color w:val="auto"/>
          <w:sz w:val="24"/>
          <w:szCs w:val="24"/>
          <w:highlight w:val="none"/>
        </w:rPr>
        <w:t>保证系统正常运行，同时将故障配件送厂维修，保证在3个工作日内维修完成</w:t>
      </w:r>
      <w:r>
        <w:rPr>
          <w:rFonts w:ascii="仿宋" w:hAnsi="仿宋" w:eastAsia="仿宋" w:cs="仿宋"/>
          <w:bCs/>
          <w:iCs/>
          <w:color w:val="auto"/>
          <w:sz w:val="24"/>
          <w:szCs w:val="24"/>
          <w:highlight w:val="none"/>
          <w:lang w:eastAsia="zh-CN"/>
        </w:rPr>
        <w:t>，</w:t>
      </w:r>
      <w:r>
        <w:rPr>
          <w:rFonts w:ascii="仿宋" w:hAnsi="仿宋" w:eastAsia="仿宋" w:cs="仿宋"/>
          <w:b/>
          <w:bCs w:val="0"/>
          <w:iCs/>
          <w:color w:val="auto"/>
          <w:sz w:val="24"/>
          <w:szCs w:val="24"/>
          <w:highlight w:val="none"/>
          <w:lang w:eastAsia="zh-CN"/>
        </w:rPr>
        <w:t>提供承诺函</w:t>
      </w:r>
      <w:r>
        <w:rPr>
          <w:rFonts w:hint="eastAsia" w:ascii="仿宋" w:hAnsi="仿宋" w:eastAsia="仿宋" w:cs="仿宋"/>
          <w:b/>
          <w:bCs w:val="0"/>
          <w:iCs/>
          <w:color w:val="auto"/>
          <w:sz w:val="24"/>
          <w:szCs w:val="24"/>
          <w:highlight w:val="none"/>
          <w:lang w:eastAsia="zh-CN"/>
        </w:rPr>
        <w:t>。</w:t>
      </w:r>
    </w:p>
    <w:p w14:paraId="15C2AE9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kern w:val="0"/>
          <w:sz w:val="24"/>
          <w:szCs w:val="24"/>
          <w:highlight w:val="none"/>
          <w:u w:val="wave"/>
        </w:rPr>
      </w:pPr>
      <w:r>
        <w:rPr>
          <w:rFonts w:ascii="仿宋" w:hAnsi="仿宋" w:eastAsia="仿宋" w:cs="仿宋"/>
          <w:b/>
          <w:color w:val="auto"/>
          <w:sz w:val="24"/>
          <w:szCs w:val="24"/>
          <w:highlight w:val="none"/>
        </w:rPr>
        <w:t>6.服务要求</w:t>
      </w:r>
    </w:p>
    <w:p w14:paraId="579ABB82">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6.1设备包修期内（各标项内已有要求的除外），如出现故障，中标人在接到电话6小时内到达采购人指定地点，</w:t>
      </w:r>
    </w:p>
    <w:p w14:paraId="775C1F19">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6.2 中标人提供的设备，必须符合招标文件及其投标文件规定的要求，如有不符，采购人可以无条件退货，造成的损失由中标人承担。</w:t>
      </w:r>
    </w:p>
    <w:p w14:paraId="67CDEEE4">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7.项目实施人员费用</w:t>
      </w:r>
    </w:p>
    <w:p w14:paraId="2703ADF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color w:val="auto"/>
          <w:sz w:val="24"/>
          <w:szCs w:val="24"/>
          <w:highlight w:val="none"/>
        </w:rPr>
        <w:t xml:space="preserve">   中标人应自行承担选派专业人员的住宿、就餐和交通等费用。</w:t>
      </w:r>
    </w:p>
    <w:p w14:paraId="13533F13">
      <w:pPr>
        <w:keepNext w:val="0"/>
        <w:keepLines w:val="0"/>
        <w:pageBreakBefore w:val="0"/>
        <w:widowControl w:val="0"/>
        <w:kinsoku/>
        <w:overflowPunct/>
        <w:autoSpaceDE/>
        <w:bidi w:val="0"/>
        <w:snapToGrid/>
        <w:spacing w:line="440" w:lineRule="exact"/>
        <w:ind w:right="420" w:firstLine="0"/>
        <w:textAlignment w:val="auto"/>
        <w:rPr>
          <w:rFonts w:ascii="仿宋" w:hAnsi="仿宋" w:eastAsia="仿宋" w:cs="仿宋"/>
          <w:b/>
          <w:bCs/>
          <w:color w:val="auto"/>
          <w:sz w:val="24"/>
          <w:highlight w:val="none"/>
          <w:lang w:eastAsia="zh-CN"/>
        </w:rPr>
      </w:pPr>
      <w:r>
        <w:rPr>
          <w:rFonts w:ascii="仿宋" w:hAnsi="仿宋" w:eastAsia="仿宋" w:cs="仿宋"/>
          <w:b/>
          <w:bCs/>
          <w:color w:val="auto"/>
          <w:sz w:val="24"/>
          <w:highlight w:val="none"/>
          <w:bdr w:val="single" w:color="000000" w:sz="4" w:space="0"/>
        </w:rPr>
        <w:t>01标</w:t>
      </w:r>
      <w:r>
        <w:rPr>
          <w:rFonts w:ascii="仿宋" w:hAnsi="仿宋" w:eastAsia="仿宋" w:cs="仿宋"/>
          <w:b/>
          <w:bCs/>
          <w:color w:val="auto"/>
          <w:sz w:val="24"/>
          <w:highlight w:val="none"/>
          <w:lang w:eastAsia="zh-CN"/>
        </w:rPr>
        <w:t>绍兴市第七人民医院智慧消防项目</w:t>
      </w:r>
    </w:p>
    <w:p w14:paraId="07F8ECD7">
      <w:pPr>
        <w:keepNext w:val="0"/>
        <w:keepLines w:val="0"/>
        <w:pageBreakBefore w:val="0"/>
        <w:widowControl w:val="0"/>
        <w:kinsoku/>
        <w:overflowPunct/>
        <w:autoSpaceDE/>
        <w:bidi w:val="0"/>
        <w:snapToGrid/>
        <w:spacing w:line="440" w:lineRule="exact"/>
        <w:textAlignment w:val="auto"/>
        <w:rPr>
          <w:rFonts w:cs="仿宋"/>
          <w:color w:val="auto"/>
          <w:highlight w:val="none"/>
          <w:lang w:val="en-US"/>
        </w:rPr>
      </w:pPr>
      <w:r>
        <w:rPr>
          <w:rFonts w:ascii="仿宋" w:hAnsi="仿宋" w:eastAsia="仿宋" w:cs="仿宋"/>
          <w:b/>
          <w:i w:val="0"/>
          <w:iCs w:val="0"/>
          <w:color w:val="auto"/>
          <w:kern w:val="0"/>
          <w:sz w:val="24"/>
          <w:szCs w:val="24"/>
          <w:highlight w:val="none"/>
          <w:u w:val="none"/>
          <w:lang w:val="en-US" w:eastAsia="zh-CN" w:bidi="ar"/>
        </w:rPr>
        <w:t>1.项目清单及技术参数要求</w:t>
      </w:r>
      <w:r>
        <w:rPr>
          <w:rFonts w:ascii="仿宋" w:hAnsi="仿宋" w:eastAsia="仿宋" w:cs="仿宋"/>
          <w:b/>
          <w:i w:val="0"/>
          <w:iCs w:val="0"/>
          <w:color w:val="auto"/>
          <w:kern w:val="0"/>
          <w:sz w:val="24"/>
          <w:szCs w:val="24"/>
          <w:highlight w:val="none"/>
          <w:u w:val="none"/>
          <w:lang w:val="en-US" w:eastAsia="zh-CN" w:bidi="ar"/>
        </w:rPr>
        <w:br w:type="textWrapping"/>
      </w:r>
      <w:r>
        <w:rPr>
          <w:rFonts w:ascii="仿宋" w:hAnsi="仿宋" w:eastAsia="仿宋" w:cs="仿宋"/>
          <w:i w:val="0"/>
          <w:iCs w:val="0"/>
          <w:color w:val="auto"/>
          <w:kern w:val="0"/>
          <w:sz w:val="24"/>
          <w:szCs w:val="24"/>
          <w:highlight w:val="none"/>
          <w:u w:val="none"/>
          <w:lang w:val="en-US" w:eastAsia="zh-CN" w:bidi="ar"/>
        </w:rPr>
        <w:t>1.1智慧消防硬件设备</w:t>
      </w:r>
    </w:p>
    <w:tbl>
      <w:tblPr>
        <w:tblStyle w:val="17"/>
        <w:tblW w:w="8639" w:type="dxa"/>
        <w:tblInd w:w="88" w:type="dxa"/>
        <w:tblLayout w:type="fixed"/>
        <w:tblCellMar>
          <w:top w:w="0" w:type="dxa"/>
          <w:left w:w="108" w:type="dxa"/>
          <w:bottom w:w="0" w:type="dxa"/>
          <w:right w:w="108" w:type="dxa"/>
        </w:tblCellMar>
      </w:tblPr>
      <w:tblGrid>
        <w:gridCol w:w="802"/>
        <w:gridCol w:w="1227"/>
        <w:gridCol w:w="5080"/>
        <w:gridCol w:w="773"/>
        <w:gridCol w:w="757"/>
      </w:tblGrid>
      <w:tr w14:paraId="494ED83C">
        <w:tblPrEx>
          <w:tblCellMar>
            <w:top w:w="0" w:type="dxa"/>
            <w:left w:w="108" w:type="dxa"/>
            <w:bottom w:w="0" w:type="dxa"/>
            <w:right w:w="108" w:type="dxa"/>
          </w:tblCellMar>
        </w:tblPrEx>
        <w:trPr>
          <w:trHeight w:val="50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0272DB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序号</w:t>
            </w:r>
          </w:p>
        </w:tc>
        <w:tc>
          <w:tcPr>
            <w:tcW w:w="1227" w:type="dxa"/>
            <w:tcBorders>
              <w:top w:val="single" w:color="000000" w:sz="4" w:space="0"/>
              <w:left w:val="single" w:color="000000" w:sz="4" w:space="0"/>
              <w:bottom w:val="single" w:color="000000" w:sz="4" w:space="0"/>
              <w:right w:val="single" w:color="000000" w:sz="4" w:space="0"/>
            </w:tcBorders>
            <w:vAlign w:val="center"/>
          </w:tcPr>
          <w:p w14:paraId="25D46F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设备名称</w:t>
            </w:r>
          </w:p>
        </w:tc>
        <w:tc>
          <w:tcPr>
            <w:tcW w:w="5080" w:type="dxa"/>
            <w:tcBorders>
              <w:top w:val="single" w:color="000000" w:sz="4" w:space="0"/>
              <w:left w:val="single" w:color="000000" w:sz="4" w:space="0"/>
              <w:bottom w:val="single" w:color="000000" w:sz="4" w:space="0"/>
              <w:right w:val="single" w:color="000000" w:sz="4" w:space="0"/>
            </w:tcBorders>
            <w:vAlign w:val="center"/>
          </w:tcPr>
          <w:p w14:paraId="5B7554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技术参数</w:t>
            </w:r>
          </w:p>
        </w:tc>
        <w:tc>
          <w:tcPr>
            <w:tcW w:w="773" w:type="dxa"/>
            <w:tcBorders>
              <w:top w:val="single" w:color="000000" w:sz="4" w:space="0"/>
              <w:left w:val="single" w:color="000000" w:sz="4" w:space="0"/>
              <w:bottom w:val="single" w:color="000000" w:sz="4" w:space="0"/>
              <w:right w:val="single" w:color="000000" w:sz="4" w:space="0"/>
            </w:tcBorders>
            <w:vAlign w:val="center"/>
          </w:tcPr>
          <w:p w14:paraId="5546B32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单位</w:t>
            </w:r>
          </w:p>
        </w:tc>
        <w:tc>
          <w:tcPr>
            <w:tcW w:w="757" w:type="dxa"/>
            <w:tcBorders>
              <w:top w:val="single" w:color="000000" w:sz="4" w:space="0"/>
              <w:left w:val="single" w:color="000000" w:sz="4" w:space="0"/>
              <w:bottom w:val="single" w:color="000000" w:sz="4" w:space="0"/>
              <w:right w:val="single" w:color="000000" w:sz="4" w:space="0"/>
            </w:tcBorders>
            <w:vAlign w:val="center"/>
          </w:tcPr>
          <w:p w14:paraId="2FA435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数量</w:t>
            </w:r>
          </w:p>
        </w:tc>
      </w:tr>
      <w:tr w14:paraId="6C4B39D8">
        <w:tblPrEx>
          <w:tblCellMar>
            <w:top w:w="0" w:type="dxa"/>
            <w:left w:w="108" w:type="dxa"/>
            <w:bottom w:w="0" w:type="dxa"/>
            <w:right w:w="108" w:type="dxa"/>
          </w:tblCellMar>
        </w:tblPrEx>
        <w:trPr>
          <w:trHeight w:val="695"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405F8C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vAlign w:val="center"/>
          </w:tcPr>
          <w:p w14:paraId="2ECEBAF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用户信息传输装置</w:t>
            </w:r>
          </w:p>
        </w:tc>
        <w:tc>
          <w:tcPr>
            <w:tcW w:w="5080" w:type="dxa"/>
            <w:tcBorders>
              <w:top w:val="single" w:color="000000" w:sz="4" w:space="0"/>
              <w:left w:val="single" w:color="000000" w:sz="4" w:space="0"/>
              <w:bottom w:val="single" w:color="000000" w:sz="4" w:space="0"/>
              <w:right w:val="single" w:color="000000" w:sz="4" w:space="0"/>
            </w:tcBorders>
            <w:vAlign w:val="center"/>
          </w:tcPr>
          <w:p w14:paraId="7AEB404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功能：火灾报警信息的接收和传输、巡检和查岗以及手动报警</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b/>
                <w:bCs/>
                <w:i w:val="0"/>
                <w:iCs w:val="0"/>
                <w:color w:val="auto"/>
                <w:kern w:val="0"/>
                <w:sz w:val="24"/>
                <w:szCs w:val="24"/>
                <w:highlight w:val="none"/>
                <w:u w:val="none"/>
                <w:lang w:val="en-US" w:eastAsia="zh-CN" w:bidi="ar"/>
              </w:rPr>
              <w:t>（提供具有CMA标识的检验报告复印件）</w:t>
            </w:r>
          </w:p>
        </w:tc>
        <w:tc>
          <w:tcPr>
            <w:tcW w:w="773" w:type="dxa"/>
            <w:tcBorders>
              <w:top w:val="single" w:color="000000" w:sz="4" w:space="0"/>
              <w:left w:val="single" w:color="000000" w:sz="4" w:space="0"/>
              <w:bottom w:val="single" w:color="000000" w:sz="4" w:space="0"/>
              <w:right w:val="single" w:color="000000" w:sz="4" w:space="0"/>
            </w:tcBorders>
            <w:vAlign w:val="center"/>
          </w:tcPr>
          <w:p w14:paraId="203C54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2F2C08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19373CE3">
        <w:tblPrEx>
          <w:tblCellMar>
            <w:top w:w="0" w:type="dxa"/>
            <w:left w:w="108" w:type="dxa"/>
            <w:bottom w:w="0" w:type="dxa"/>
            <w:right w:w="108" w:type="dxa"/>
          </w:tblCellMar>
        </w:tblPrEx>
        <w:trPr>
          <w:trHeight w:val="443"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2DC70D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vAlign w:val="center"/>
          </w:tcPr>
          <w:p w14:paraId="0709678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智能无线液位传感设备</w:t>
            </w:r>
          </w:p>
        </w:tc>
        <w:tc>
          <w:tcPr>
            <w:tcW w:w="5080" w:type="dxa"/>
            <w:tcBorders>
              <w:top w:val="single" w:color="000000" w:sz="4" w:space="0"/>
              <w:left w:val="single" w:color="000000" w:sz="4" w:space="0"/>
              <w:bottom w:val="single" w:color="000000" w:sz="4" w:space="0"/>
              <w:right w:val="single" w:color="000000" w:sz="4" w:space="0"/>
            </w:tcBorders>
            <w:vAlign w:val="center"/>
          </w:tcPr>
          <w:p w14:paraId="06B7E3A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功能：消防水箱、水池的液位实时在线监测</w:t>
            </w:r>
          </w:p>
        </w:tc>
        <w:tc>
          <w:tcPr>
            <w:tcW w:w="773" w:type="dxa"/>
            <w:tcBorders>
              <w:top w:val="single" w:color="000000" w:sz="4" w:space="0"/>
              <w:left w:val="single" w:color="000000" w:sz="4" w:space="0"/>
              <w:bottom w:val="single" w:color="000000" w:sz="4" w:space="0"/>
              <w:right w:val="single" w:color="000000" w:sz="4" w:space="0"/>
            </w:tcBorders>
            <w:vAlign w:val="center"/>
          </w:tcPr>
          <w:p w14:paraId="6D848B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705AD9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2</w:t>
            </w:r>
          </w:p>
        </w:tc>
      </w:tr>
      <w:tr w14:paraId="3C25B01A">
        <w:tblPrEx>
          <w:tblCellMar>
            <w:top w:w="0" w:type="dxa"/>
            <w:left w:w="108" w:type="dxa"/>
            <w:bottom w:w="0" w:type="dxa"/>
            <w:right w:w="108"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7F0538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3</w:t>
            </w:r>
          </w:p>
        </w:tc>
        <w:tc>
          <w:tcPr>
            <w:tcW w:w="1227" w:type="dxa"/>
            <w:tcBorders>
              <w:top w:val="single" w:color="000000" w:sz="4" w:space="0"/>
              <w:left w:val="single" w:color="000000" w:sz="4" w:space="0"/>
              <w:bottom w:val="single" w:color="000000" w:sz="4" w:space="0"/>
              <w:right w:val="single" w:color="000000" w:sz="4" w:space="0"/>
            </w:tcBorders>
            <w:vAlign w:val="center"/>
          </w:tcPr>
          <w:p w14:paraId="1A35446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智能无线压力传感设备</w:t>
            </w:r>
          </w:p>
        </w:tc>
        <w:tc>
          <w:tcPr>
            <w:tcW w:w="5080" w:type="dxa"/>
            <w:tcBorders>
              <w:top w:val="single" w:color="000000" w:sz="4" w:space="0"/>
              <w:left w:val="single" w:color="000000" w:sz="4" w:space="0"/>
              <w:bottom w:val="single" w:color="000000" w:sz="4" w:space="0"/>
              <w:right w:val="single" w:color="000000" w:sz="4" w:space="0"/>
            </w:tcBorders>
            <w:vAlign w:val="center"/>
          </w:tcPr>
          <w:p w14:paraId="38C6A71A">
            <w:pPr>
              <w:pStyle w:val="2"/>
              <w:keepNext w:val="0"/>
              <w:keepLines w:val="0"/>
              <w:suppressLineNumbers w:val="0"/>
              <w:spacing w:beforeAutospacing="0" w:after="0" w:afterAutospacing="0"/>
              <w:ind w:left="0" w:right="0"/>
              <w:rPr>
                <w:rFonts w:hint="default"/>
                <w:color w:val="auto"/>
                <w:highlight w:val="none"/>
                <w:lang w:val="en-US" w:eastAsia="zh-CN"/>
              </w:rPr>
            </w:pPr>
          </w:p>
          <w:p w14:paraId="1BC42470">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功能：室内消防管网水压实时在线监测</w:t>
            </w:r>
          </w:p>
          <w:p w14:paraId="6F354CCE">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p>
        </w:tc>
        <w:tc>
          <w:tcPr>
            <w:tcW w:w="773" w:type="dxa"/>
            <w:tcBorders>
              <w:top w:val="single" w:color="000000" w:sz="4" w:space="0"/>
              <w:left w:val="single" w:color="000000" w:sz="4" w:space="0"/>
              <w:bottom w:val="single" w:color="000000" w:sz="4" w:space="0"/>
              <w:right w:val="single" w:color="000000" w:sz="4" w:space="0"/>
            </w:tcBorders>
            <w:vAlign w:val="center"/>
          </w:tcPr>
          <w:p w14:paraId="70FF82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761B5F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3</w:t>
            </w:r>
          </w:p>
        </w:tc>
      </w:tr>
      <w:tr w14:paraId="55F5EABE">
        <w:tblPrEx>
          <w:tblCellMar>
            <w:top w:w="0" w:type="dxa"/>
            <w:left w:w="108" w:type="dxa"/>
            <w:bottom w:w="0" w:type="dxa"/>
            <w:right w:w="108"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50F32C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vAlign w:val="center"/>
          </w:tcPr>
          <w:p w14:paraId="7A54EBB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室外消火栓智能无线压力计</w:t>
            </w:r>
          </w:p>
        </w:tc>
        <w:tc>
          <w:tcPr>
            <w:tcW w:w="5080" w:type="dxa"/>
            <w:tcBorders>
              <w:top w:val="single" w:color="000000" w:sz="4" w:space="0"/>
              <w:left w:val="single" w:color="000000" w:sz="4" w:space="0"/>
              <w:bottom w:val="single" w:color="000000" w:sz="4" w:space="0"/>
              <w:right w:val="single" w:color="000000" w:sz="4" w:space="0"/>
            </w:tcBorders>
            <w:vAlign w:val="center"/>
          </w:tcPr>
          <w:p w14:paraId="728E9E37">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功能：室外消防管网水压实时在线监测</w:t>
            </w:r>
          </w:p>
        </w:tc>
        <w:tc>
          <w:tcPr>
            <w:tcW w:w="773" w:type="dxa"/>
            <w:tcBorders>
              <w:top w:val="single" w:color="000000" w:sz="4" w:space="0"/>
              <w:left w:val="single" w:color="000000" w:sz="4" w:space="0"/>
              <w:bottom w:val="single" w:color="000000" w:sz="4" w:space="0"/>
              <w:right w:val="single" w:color="000000" w:sz="4" w:space="0"/>
            </w:tcBorders>
            <w:vAlign w:val="center"/>
          </w:tcPr>
          <w:p w14:paraId="3E7A90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55FFAF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506B2C7B">
        <w:tblPrEx>
          <w:tblCellMar>
            <w:top w:w="0" w:type="dxa"/>
            <w:left w:w="108" w:type="dxa"/>
            <w:bottom w:w="0" w:type="dxa"/>
            <w:right w:w="108"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387017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5</w:t>
            </w:r>
          </w:p>
        </w:tc>
        <w:tc>
          <w:tcPr>
            <w:tcW w:w="1227" w:type="dxa"/>
            <w:tcBorders>
              <w:top w:val="single" w:color="000000" w:sz="4" w:space="0"/>
              <w:left w:val="single" w:color="000000" w:sz="4" w:space="0"/>
              <w:bottom w:val="single" w:color="000000" w:sz="4" w:space="0"/>
              <w:right w:val="single" w:color="000000" w:sz="4" w:space="0"/>
            </w:tcBorders>
            <w:vAlign w:val="center"/>
          </w:tcPr>
          <w:p w14:paraId="42DD6F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组合式电气火灾探测器</w:t>
            </w:r>
          </w:p>
        </w:tc>
        <w:tc>
          <w:tcPr>
            <w:tcW w:w="5080" w:type="dxa"/>
            <w:tcBorders>
              <w:top w:val="single" w:color="000000" w:sz="4" w:space="0"/>
              <w:left w:val="single" w:color="000000" w:sz="4" w:space="0"/>
              <w:bottom w:val="single" w:color="000000" w:sz="4" w:space="0"/>
              <w:right w:val="single" w:color="000000" w:sz="4" w:space="0"/>
            </w:tcBorders>
            <w:vAlign w:val="center"/>
          </w:tcPr>
          <w:p w14:paraId="339AABB1">
            <w:pPr>
              <w:pStyle w:val="2"/>
              <w:keepNext w:val="0"/>
              <w:keepLines w:val="0"/>
              <w:numPr>
                <w:ilvl w:val="0"/>
                <w:numId w:val="0"/>
              </w:numPr>
              <w:suppressLineNumbers w:val="0"/>
              <w:spacing w:beforeAutospacing="0" w:after="0" w:afterAutospacing="0"/>
              <w:ind w:left="0" w:right="0"/>
              <w:rPr>
                <w:rFonts w:hint="default" w:eastAsia="宋体"/>
                <w:color w:val="auto"/>
                <w:highlight w:val="none"/>
                <w:lang w:val="en-US" w:eastAsia="zh-CN"/>
              </w:rPr>
            </w:pPr>
            <w:r>
              <w:rPr>
                <w:rFonts w:hint="eastAsia" w:ascii="仿宋" w:hAnsi="仿宋" w:eastAsia="仿宋" w:cs="仿宋"/>
                <w:i w:val="0"/>
                <w:iCs w:val="0"/>
                <w:color w:val="auto"/>
                <w:kern w:val="2"/>
                <w:sz w:val="24"/>
                <w:szCs w:val="24"/>
                <w:highlight w:val="none"/>
                <w:u w:val="none"/>
                <w:lang w:val="en-US" w:eastAsia="zh-CN" w:bidi="ar-SA"/>
              </w:rPr>
              <w:t>功能：电气线路状态（温度、电流等）实时在线监测。</w:t>
            </w:r>
          </w:p>
        </w:tc>
        <w:tc>
          <w:tcPr>
            <w:tcW w:w="773" w:type="dxa"/>
            <w:tcBorders>
              <w:top w:val="single" w:color="000000" w:sz="4" w:space="0"/>
              <w:left w:val="single" w:color="000000" w:sz="4" w:space="0"/>
              <w:bottom w:val="single" w:color="000000" w:sz="4" w:space="0"/>
              <w:right w:val="single" w:color="000000" w:sz="4" w:space="0"/>
            </w:tcBorders>
            <w:vAlign w:val="center"/>
          </w:tcPr>
          <w:p w14:paraId="62D2E8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69B749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19</w:t>
            </w:r>
          </w:p>
        </w:tc>
      </w:tr>
      <w:tr w14:paraId="18FCE437">
        <w:tblPrEx>
          <w:tblCellMar>
            <w:top w:w="0" w:type="dxa"/>
            <w:left w:w="108" w:type="dxa"/>
            <w:bottom w:w="0" w:type="dxa"/>
            <w:right w:w="108" w:type="dxa"/>
          </w:tblCellMar>
        </w:tblPrEx>
        <w:trPr>
          <w:trHeight w:val="213"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614B57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6</w:t>
            </w:r>
          </w:p>
        </w:tc>
        <w:tc>
          <w:tcPr>
            <w:tcW w:w="1227" w:type="dxa"/>
            <w:tcBorders>
              <w:top w:val="single" w:color="000000" w:sz="4" w:space="0"/>
              <w:left w:val="single" w:color="000000" w:sz="4" w:space="0"/>
              <w:bottom w:val="single" w:color="000000" w:sz="4" w:space="0"/>
              <w:right w:val="single" w:color="000000" w:sz="4" w:space="0"/>
            </w:tcBorders>
            <w:vAlign w:val="center"/>
          </w:tcPr>
          <w:p w14:paraId="33B529B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NFC巡检卡片</w:t>
            </w:r>
          </w:p>
        </w:tc>
        <w:tc>
          <w:tcPr>
            <w:tcW w:w="5080" w:type="dxa"/>
            <w:tcBorders>
              <w:top w:val="single" w:color="000000" w:sz="4" w:space="0"/>
              <w:left w:val="single" w:color="000000" w:sz="4" w:space="0"/>
              <w:bottom w:val="single" w:color="000000" w:sz="4" w:space="0"/>
              <w:right w:val="single" w:color="000000" w:sz="4" w:space="0"/>
            </w:tcBorders>
            <w:vAlign w:val="center"/>
          </w:tcPr>
          <w:p w14:paraId="59CC345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功能：通过手机NFC功能扫码或触碰后弹窗显示填写界面进行填写检查内容。</w:t>
            </w:r>
          </w:p>
        </w:tc>
        <w:tc>
          <w:tcPr>
            <w:tcW w:w="773" w:type="dxa"/>
            <w:tcBorders>
              <w:top w:val="single" w:color="000000" w:sz="4" w:space="0"/>
              <w:left w:val="single" w:color="000000" w:sz="4" w:space="0"/>
              <w:bottom w:val="single" w:color="000000" w:sz="4" w:space="0"/>
              <w:right w:val="single" w:color="000000" w:sz="4" w:space="0"/>
            </w:tcBorders>
            <w:vAlign w:val="center"/>
          </w:tcPr>
          <w:p w14:paraId="0769F8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张</w:t>
            </w:r>
          </w:p>
        </w:tc>
        <w:tc>
          <w:tcPr>
            <w:tcW w:w="757" w:type="dxa"/>
            <w:tcBorders>
              <w:top w:val="single" w:color="000000" w:sz="4" w:space="0"/>
              <w:left w:val="single" w:color="000000" w:sz="4" w:space="0"/>
              <w:bottom w:val="single" w:color="000000" w:sz="4" w:space="0"/>
              <w:right w:val="single" w:color="000000" w:sz="4" w:space="0"/>
            </w:tcBorders>
            <w:vAlign w:val="center"/>
          </w:tcPr>
          <w:p w14:paraId="5678053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550</w:t>
            </w:r>
          </w:p>
        </w:tc>
      </w:tr>
    </w:tbl>
    <w:p w14:paraId="31A50F2C">
      <w:pPr>
        <w:rPr>
          <w:rFonts w:ascii="仿宋" w:hAnsi="仿宋" w:eastAsia="仿宋" w:cs="仿宋"/>
          <w:i w:val="0"/>
          <w:iCs w:val="0"/>
          <w:color w:val="auto"/>
          <w:kern w:val="0"/>
          <w:sz w:val="22"/>
          <w:szCs w:val="22"/>
          <w:highlight w:val="none"/>
          <w:u w:val="none"/>
          <w:lang w:val="en-US" w:eastAsia="zh-CN" w:bidi="ar"/>
        </w:rPr>
      </w:pPr>
    </w:p>
    <w:p w14:paraId="4D99BDEA">
      <w:pPr>
        <w:rPr>
          <w:rFonts w:ascii="仿宋" w:hAnsi="仿宋" w:eastAsia="仿宋" w:cs="仿宋"/>
          <w:i w:val="0"/>
          <w:iCs w:val="0"/>
          <w:color w:val="auto"/>
          <w:kern w:val="0"/>
          <w:sz w:val="24"/>
          <w:szCs w:val="24"/>
          <w:highlight w:val="none"/>
          <w:u w:val="none"/>
          <w:lang w:val="en-US" w:eastAsia="zh-CN" w:bidi="ar"/>
        </w:rPr>
      </w:pPr>
    </w:p>
    <w:p w14:paraId="6C403932">
      <w:pPr>
        <w:rPr>
          <w:rFonts w:cs="仿宋"/>
          <w:color w:val="auto"/>
          <w:highlight w:val="none"/>
          <w:lang w:val="en-US"/>
        </w:rPr>
      </w:pPr>
      <w:r>
        <w:rPr>
          <w:rFonts w:ascii="仿宋" w:hAnsi="仿宋" w:eastAsia="仿宋" w:cs="仿宋"/>
          <w:i w:val="0"/>
          <w:iCs w:val="0"/>
          <w:color w:val="auto"/>
          <w:kern w:val="0"/>
          <w:sz w:val="24"/>
          <w:szCs w:val="24"/>
          <w:highlight w:val="none"/>
          <w:u w:val="none"/>
          <w:lang w:val="en-US" w:eastAsia="zh-CN" w:bidi="ar"/>
        </w:rPr>
        <w:t>1.2智慧消防管理平台</w:t>
      </w:r>
    </w:p>
    <w:tbl>
      <w:tblPr>
        <w:tblStyle w:val="17"/>
        <w:tblW w:w="8639" w:type="dxa"/>
        <w:tblInd w:w="88" w:type="dxa"/>
        <w:tblLayout w:type="fixed"/>
        <w:tblCellMar>
          <w:top w:w="0" w:type="dxa"/>
          <w:left w:w="108" w:type="dxa"/>
          <w:bottom w:w="0" w:type="dxa"/>
          <w:right w:w="108" w:type="dxa"/>
        </w:tblCellMar>
      </w:tblPr>
      <w:tblGrid>
        <w:gridCol w:w="815"/>
        <w:gridCol w:w="1214"/>
        <w:gridCol w:w="5081"/>
        <w:gridCol w:w="772"/>
        <w:gridCol w:w="757"/>
      </w:tblGrid>
      <w:tr w14:paraId="3D0D1AF0">
        <w:tblPrEx>
          <w:tblCellMar>
            <w:top w:w="0" w:type="dxa"/>
            <w:left w:w="108" w:type="dxa"/>
            <w:bottom w:w="0" w:type="dxa"/>
            <w:right w:w="108" w:type="dxa"/>
          </w:tblCellMar>
        </w:tblPrEx>
        <w:trPr>
          <w:trHeight w:val="50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52AF8C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序号</w:t>
            </w:r>
          </w:p>
        </w:tc>
        <w:tc>
          <w:tcPr>
            <w:tcW w:w="1214" w:type="dxa"/>
            <w:tcBorders>
              <w:top w:val="single" w:color="000000" w:sz="4" w:space="0"/>
              <w:left w:val="single" w:color="000000" w:sz="4" w:space="0"/>
              <w:bottom w:val="single" w:color="000000" w:sz="4" w:space="0"/>
              <w:right w:val="single" w:color="000000" w:sz="4" w:space="0"/>
            </w:tcBorders>
            <w:vAlign w:val="center"/>
          </w:tcPr>
          <w:p w14:paraId="10AB45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名称</w:t>
            </w:r>
          </w:p>
        </w:tc>
        <w:tc>
          <w:tcPr>
            <w:tcW w:w="5081" w:type="dxa"/>
            <w:tcBorders>
              <w:top w:val="single" w:color="000000" w:sz="4" w:space="0"/>
              <w:left w:val="single" w:color="000000" w:sz="4" w:space="0"/>
              <w:bottom w:val="single" w:color="000000" w:sz="4" w:space="0"/>
              <w:right w:val="single" w:color="000000" w:sz="4" w:space="0"/>
            </w:tcBorders>
            <w:vAlign w:val="center"/>
          </w:tcPr>
          <w:p w14:paraId="344DA6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功能技术指标</w:t>
            </w:r>
          </w:p>
        </w:tc>
        <w:tc>
          <w:tcPr>
            <w:tcW w:w="772" w:type="dxa"/>
            <w:tcBorders>
              <w:top w:val="single" w:color="000000" w:sz="4" w:space="0"/>
              <w:left w:val="single" w:color="000000" w:sz="4" w:space="0"/>
              <w:bottom w:val="single" w:color="000000" w:sz="4" w:space="0"/>
              <w:right w:val="single" w:color="000000" w:sz="4" w:space="0"/>
            </w:tcBorders>
            <w:vAlign w:val="center"/>
          </w:tcPr>
          <w:p w14:paraId="23B9FB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单位</w:t>
            </w:r>
          </w:p>
        </w:tc>
        <w:tc>
          <w:tcPr>
            <w:tcW w:w="757" w:type="dxa"/>
            <w:tcBorders>
              <w:top w:val="single" w:color="000000" w:sz="4" w:space="0"/>
              <w:left w:val="single" w:color="000000" w:sz="4" w:space="0"/>
              <w:bottom w:val="single" w:color="000000" w:sz="4" w:space="0"/>
              <w:right w:val="single" w:color="000000" w:sz="4" w:space="0"/>
            </w:tcBorders>
            <w:vAlign w:val="center"/>
          </w:tcPr>
          <w:p w14:paraId="6D615C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数量</w:t>
            </w:r>
          </w:p>
        </w:tc>
      </w:tr>
      <w:tr w14:paraId="2D4DA68E">
        <w:tblPrEx>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2419F0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c>
          <w:tcPr>
            <w:tcW w:w="1214" w:type="dxa"/>
            <w:tcBorders>
              <w:top w:val="single" w:color="000000" w:sz="4" w:space="0"/>
              <w:left w:val="single" w:color="000000" w:sz="4" w:space="0"/>
              <w:bottom w:val="single" w:color="000000" w:sz="4" w:space="0"/>
              <w:right w:val="single" w:color="000000" w:sz="4" w:space="0"/>
            </w:tcBorders>
            <w:vAlign w:val="center"/>
          </w:tcPr>
          <w:p w14:paraId="67DE384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综合管理驾驶舱</w:t>
            </w:r>
          </w:p>
        </w:tc>
        <w:tc>
          <w:tcPr>
            <w:tcW w:w="5081" w:type="dxa"/>
            <w:tcBorders>
              <w:top w:val="single" w:color="000000" w:sz="4" w:space="0"/>
              <w:left w:val="single" w:color="000000" w:sz="4" w:space="0"/>
              <w:bottom w:val="single" w:color="000000" w:sz="4" w:space="0"/>
              <w:right w:val="single" w:color="000000" w:sz="4" w:space="0"/>
            </w:tcBorders>
            <w:vAlign w:val="center"/>
          </w:tcPr>
          <w:p w14:paraId="6293D05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、警情分析：可通过选择时间段（今日、本月或本年统计）从趋势、时段分析、场所分布、设备分布四个维度进行可视化分析展示。</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、消防隐患与处置对比分析情况：从已发现隐患数、已处理隐患数统计查看今日、本月和本年的数据情况；支持区分不同隐患数据来源，包括但不限于隐患上报、巡检异常、消防投诉等，并支持数据导出功能。</w:t>
            </w:r>
            <w:r>
              <w:rPr>
                <w:rFonts w:hint="default" w:ascii="仿宋" w:hAnsi="仿宋" w:eastAsia="仿宋" w:cs="仿宋"/>
                <w:b/>
                <w:bCs/>
                <w:i w:val="0"/>
                <w:iCs w:val="0"/>
                <w:color w:val="auto"/>
                <w:kern w:val="0"/>
                <w:sz w:val="24"/>
                <w:szCs w:val="24"/>
                <w:highlight w:val="none"/>
                <w:u w:val="none"/>
                <w:lang w:val="en-US" w:eastAsia="zh-CN" w:bidi="ar"/>
              </w:rPr>
              <w:t>（需提供系统截图</w:t>
            </w:r>
            <w:r>
              <w:rPr>
                <w:rFonts w:hint="eastAsia" w:ascii="仿宋" w:hAnsi="仿宋" w:eastAsia="仿宋" w:cs="仿宋"/>
                <w:b/>
                <w:bCs/>
                <w:i w:val="0"/>
                <w:iCs w:val="0"/>
                <w:color w:val="auto"/>
                <w:kern w:val="0"/>
                <w:sz w:val="24"/>
                <w:szCs w:val="24"/>
                <w:highlight w:val="none"/>
                <w:u w:val="none"/>
                <w:lang w:val="en-US" w:eastAsia="zh-CN" w:bidi="ar"/>
              </w:rPr>
              <w:t>和</w:t>
            </w:r>
            <w:r>
              <w:rPr>
                <w:rFonts w:hint="default" w:ascii="仿宋" w:hAnsi="仿宋" w:eastAsia="仿宋" w:cs="仿宋"/>
                <w:b/>
                <w:bCs/>
                <w:i w:val="0"/>
                <w:iCs w:val="0"/>
                <w:color w:val="auto"/>
                <w:kern w:val="0"/>
                <w:sz w:val="24"/>
                <w:szCs w:val="24"/>
                <w:highlight w:val="none"/>
                <w:u w:val="none"/>
                <w:lang w:val="en-US" w:eastAsia="zh-CN" w:bidi="ar"/>
              </w:rPr>
              <w:t>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20F72C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359B5A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161D00E2">
        <w:tblPrEx>
          <w:tblCellMar>
            <w:top w:w="0" w:type="dxa"/>
            <w:left w:w="108" w:type="dxa"/>
            <w:bottom w:w="0" w:type="dxa"/>
            <w:right w:w="108" w:type="dxa"/>
          </w:tblCellMar>
        </w:tblPrEx>
        <w:trPr>
          <w:trHeight w:val="193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20533F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vAlign w:val="center"/>
          </w:tcPr>
          <w:p w14:paraId="12349CB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后台管理系统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5A43BDE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1、单位信息管理：允许用户在WEB端对单位档案、建筑物、物联设备进行管理。</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、数据报表：支持在WEB端生成数据报表，可对告警列表、告警明细、巡检情况、巡检点位、设备型号在线情况、设备详情、维保工单、值班人员、值班明细生成对应的报表，并支持导出每个报表。</w:t>
            </w:r>
          </w:p>
        </w:tc>
        <w:tc>
          <w:tcPr>
            <w:tcW w:w="772" w:type="dxa"/>
            <w:tcBorders>
              <w:top w:val="single" w:color="000000" w:sz="4" w:space="0"/>
              <w:left w:val="single" w:color="000000" w:sz="4" w:space="0"/>
              <w:bottom w:val="single" w:color="000000" w:sz="4" w:space="0"/>
              <w:right w:val="single" w:color="000000" w:sz="4" w:space="0"/>
            </w:tcBorders>
            <w:vAlign w:val="center"/>
          </w:tcPr>
          <w:p w14:paraId="1D0EBE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3A281D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17B85A54">
        <w:tblPrEx>
          <w:tblCellMar>
            <w:top w:w="0" w:type="dxa"/>
            <w:left w:w="108" w:type="dxa"/>
            <w:bottom w:w="0" w:type="dxa"/>
            <w:right w:w="108" w:type="dxa"/>
          </w:tblCellMar>
        </w:tblPrEx>
        <w:trPr>
          <w:trHeight w:val="603"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5CFC98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3</w:t>
            </w:r>
          </w:p>
        </w:tc>
        <w:tc>
          <w:tcPr>
            <w:tcW w:w="1214" w:type="dxa"/>
            <w:tcBorders>
              <w:top w:val="single" w:color="000000" w:sz="4" w:space="0"/>
              <w:left w:val="single" w:color="000000" w:sz="4" w:space="0"/>
              <w:bottom w:val="single" w:color="000000" w:sz="4" w:space="0"/>
              <w:right w:val="single" w:color="000000" w:sz="4" w:space="0"/>
            </w:tcBorders>
            <w:vAlign w:val="center"/>
          </w:tcPr>
          <w:p w14:paraId="74F952F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自主管理移动端</w:t>
            </w:r>
          </w:p>
        </w:tc>
        <w:tc>
          <w:tcPr>
            <w:tcW w:w="5081" w:type="dxa"/>
            <w:tcBorders>
              <w:top w:val="single" w:color="000000" w:sz="4" w:space="0"/>
              <w:left w:val="single" w:color="000000" w:sz="4" w:space="0"/>
              <w:bottom w:val="single" w:color="000000" w:sz="4" w:space="0"/>
              <w:right w:val="single" w:color="000000" w:sz="4" w:space="0"/>
            </w:tcBorders>
            <w:vAlign w:val="center"/>
          </w:tcPr>
          <w:p w14:paraId="0DFF05A0">
            <w:pPr>
              <w:keepNext w:val="0"/>
              <w:keepLines w:val="0"/>
              <w:widowControl/>
              <w:numPr>
                <w:ilvl w:val="0"/>
                <w:numId w:val="0"/>
              </w:numPr>
              <w:suppressLineNumbers w:val="0"/>
              <w:spacing w:before="0" w:beforeAutospacing="0" w:after="0" w:afterAutospacing="0"/>
              <w:ind w:left="0" w:leftChars="0" w:right="0" w:rightChars="0"/>
              <w:jc w:val="left"/>
              <w:textAlignment w:val="center"/>
              <w:rPr>
                <w:rFonts w:hint="eastAsia" w:eastAsia="宋体"/>
                <w:color w:val="auto"/>
                <w:highlight w:val="none"/>
                <w:lang w:val="en-US" w:eastAsia="zh-CN"/>
              </w:rPr>
            </w:pPr>
            <w:r>
              <w:rPr>
                <w:rFonts w:hint="default" w:ascii="仿宋" w:hAnsi="仿宋" w:eastAsia="仿宋" w:cs="仿宋"/>
                <w:i w:val="0"/>
                <w:iCs w:val="0"/>
                <w:strike w:val="0"/>
                <w:dstrike w:val="0"/>
                <w:color w:val="auto"/>
                <w:kern w:val="0"/>
                <w:sz w:val="24"/>
                <w:szCs w:val="24"/>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 xml:space="preserve">、巡查巡检管理：可依据人员权限提供巡检任务、巡检记录、巡检点位、隐患处置功能；巡检任务功能可查看个人已有任务的巡检位置、巡检时间等信息，提供多种巡检方法。 </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、运营报告</w:t>
            </w:r>
            <w:r>
              <w:rPr>
                <w:rFonts w:hint="eastAsia" w:ascii="仿宋" w:hAnsi="仿宋" w:eastAsia="仿宋" w:cs="仿宋"/>
                <w:i w:val="0"/>
                <w:iCs w:val="0"/>
                <w:color w:val="auto"/>
                <w:kern w:val="0"/>
                <w:sz w:val="24"/>
                <w:szCs w:val="24"/>
                <w:highlight w:val="none"/>
                <w:u w:val="none"/>
                <w:lang w:val="en-US" w:eastAsia="zh-CN" w:bidi="ar"/>
              </w:rPr>
              <w:t>和工作看板管理</w:t>
            </w:r>
            <w:r>
              <w:rPr>
                <w:rFonts w:hint="default" w:ascii="仿宋" w:hAnsi="仿宋" w:eastAsia="仿宋" w:cs="仿宋"/>
                <w:i w:val="0"/>
                <w:iCs w:val="0"/>
                <w:color w:val="auto"/>
                <w:kern w:val="0"/>
                <w:sz w:val="24"/>
                <w:szCs w:val="24"/>
                <w:highlight w:val="none"/>
                <w:u w:val="none"/>
                <w:lang w:val="en-US" w:eastAsia="zh-CN" w:bidi="ar"/>
              </w:rPr>
              <w:t>：可生成单月运营报告，可对报警数据设备情况，报警情况进行分析，可提供基本建议</w:t>
            </w:r>
            <w:r>
              <w:rPr>
                <w:rFonts w:hint="eastAsia" w:ascii="仿宋" w:hAnsi="仿宋" w:eastAsia="仿宋" w:cs="仿宋"/>
                <w:i w:val="0"/>
                <w:iCs w:val="0"/>
                <w:color w:val="auto"/>
                <w:kern w:val="0"/>
                <w:sz w:val="24"/>
                <w:szCs w:val="24"/>
                <w:highlight w:val="none"/>
                <w:u w:val="none"/>
                <w:lang w:val="en-US" w:eastAsia="zh-CN" w:bidi="ar"/>
              </w:rPr>
              <w:t>，同时可查看工作看板。</w:t>
            </w:r>
            <w:r>
              <w:rPr>
                <w:rFonts w:hint="default" w:ascii="仿宋" w:hAnsi="仿宋" w:eastAsia="仿宋" w:cs="仿宋"/>
                <w:b/>
                <w:bCs/>
                <w:i w:val="0"/>
                <w:iCs w:val="0"/>
                <w:color w:val="auto"/>
                <w:kern w:val="0"/>
                <w:sz w:val="24"/>
                <w:szCs w:val="24"/>
                <w:highlight w:val="none"/>
                <w:u w:val="none"/>
                <w:lang w:val="en-US" w:eastAsia="zh-CN" w:bidi="ar"/>
              </w:rPr>
              <w:t>（</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r>
              <w:rPr>
                <w:rFonts w:hint="default" w:ascii="仿宋" w:hAnsi="仿宋" w:eastAsia="仿宋" w:cs="仿宋"/>
                <w:b/>
                <w:bCs/>
                <w:i w:val="0"/>
                <w:iCs w:val="0"/>
                <w:strike w:val="0"/>
                <w:dstrike w:val="0"/>
                <w:color w:val="auto"/>
                <w:kern w:val="0"/>
                <w:sz w:val="24"/>
                <w:szCs w:val="24"/>
                <w:highlight w:val="none"/>
                <w:u w:val="none"/>
                <w:lang w:val="en-US" w:eastAsia="zh-CN" w:bidi="ar"/>
              </w:rPr>
              <w:t>）</w:t>
            </w:r>
          </w:p>
        </w:tc>
        <w:tc>
          <w:tcPr>
            <w:tcW w:w="772" w:type="dxa"/>
            <w:tcBorders>
              <w:top w:val="single" w:color="000000" w:sz="4" w:space="0"/>
              <w:left w:val="single" w:color="000000" w:sz="4" w:space="0"/>
              <w:bottom w:val="single" w:color="000000" w:sz="4" w:space="0"/>
              <w:right w:val="single" w:color="000000" w:sz="4" w:space="0"/>
            </w:tcBorders>
            <w:vAlign w:val="center"/>
          </w:tcPr>
          <w:p w14:paraId="4C2CB0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38D46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05F64C1E">
        <w:tblPrEx>
          <w:tblCellMar>
            <w:top w:w="0" w:type="dxa"/>
            <w:left w:w="108" w:type="dxa"/>
            <w:bottom w:w="0" w:type="dxa"/>
            <w:right w:w="108" w:type="dxa"/>
          </w:tblCellMar>
        </w:tblPrEx>
        <w:trPr>
          <w:trHeight w:val="389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304234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4</w:t>
            </w:r>
          </w:p>
        </w:tc>
        <w:tc>
          <w:tcPr>
            <w:tcW w:w="1214" w:type="dxa"/>
            <w:tcBorders>
              <w:top w:val="single" w:color="000000" w:sz="4" w:space="0"/>
              <w:left w:val="single" w:color="000000" w:sz="4" w:space="0"/>
              <w:bottom w:val="single" w:color="000000" w:sz="4" w:space="0"/>
              <w:right w:val="single" w:color="000000" w:sz="4" w:space="0"/>
            </w:tcBorders>
            <w:vAlign w:val="center"/>
          </w:tcPr>
          <w:p w14:paraId="30CD0DA4">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基于复杂网络的高楼火灾报警监控消防系统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46F4A55E">
            <w:pPr>
              <w:keepNext w:val="0"/>
              <w:keepLines w:val="0"/>
              <w:widowControl/>
              <w:numPr>
                <w:ilvl w:val="0"/>
                <w:numId w:val="0"/>
              </w:numPr>
              <w:suppressLineNumbers w:val="0"/>
              <w:spacing w:before="0" w:beforeAutospacing="0" w:after="0" w:afterAutospacing="0"/>
              <w:ind w:left="0" w:leftChars="0" w:right="0" w:rightChars="0"/>
              <w:jc w:val="left"/>
              <w:textAlignment w:val="center"/>
              <w:rPr>
                <w:rFonts w:hint="default" w:ascii="仿宋" w:hAnsi="仿宋" w:eastAsia="仿宋" w:cs="仿宋"/>
                <w:i w:val="0"/>
                <w:iCs w:val="0"/>
                <w:color w:val="auto"/>
                <w:kern w:val="0"/>
                <w:sz w:val="24"/>
                <w:szCs w:val="24"/>
                <w:highlight w:val="yellow"/>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实时报警信息展示：支持按照远程监控类型筛选监测情况，支持查看相关告警统计、告警明细，可依据告警类型、告警状态和不同的时间维度进行告警筛选，不允许对该类告警进行批量处理，可分别导出对应的报表。</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、告警分析：可通过不同时间维度分析告警情况。可显示该类设施的设备概况。支持当发生告警以后，可以通过电话呼叫、短信、移动端消息推送等形式进行报警信息推送。</w:t>
            </w:r>
          </w:p>
          <w:p w14:paraId="21D417B8">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3、消防远程联网视频弹窗联动管理：可对消防远程联网的火灾自动报警系统部件和视频监控进行联动管理，实现告警弹窗功能。</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141531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982C6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322AA8C2">
        <w:tblPrEx>
          <w:tblCellMar>
            <w:top w:w="0" w:type="dxa"/>
            <w:left w:w="108" w:type="dxa"/>
            <w:bottom w:w="0" w:type="dxa"/>
            <w:right w:w="108" w:type="dxa"/>
          </w:tblCellMar>
        </w:tblPrEx>
        <w:trPr>
          <w:trHeight w:val="308"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0AB9E3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5</w:t>
            </w:r>
          </w:p>
        </w:tc>
        <w:tc>
          <w:tcPr>
            <w:tcW w:w="1214" w:type="dxa"/>
            <w:tcBorders>
              <w:top w:val="single" w:color="000000" w:sz="4" w:space="0"/>
              <w:left w:val="single" w:color="000000" w:sz="4" w:space="0"/>
              <w:bottom w:val="single" w:color="000000" w:sz="4" w:space="0"/>
              <w:right w:val="single" w:color="000000" w:sz="4" w:space="0"/>
            </w:tcBorders>
            <w:vAlign w:val="center"/>
          </w:tcPr>
          <w:p w14:paraId="177F757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基于云计算的智慧用水管理系统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048A4C1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、设备位置及画像展示：支持在地图中展示各个状态的液位传感器、压力传感器、室外消火栓系统设备位置、画像信息展示。</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实时报警信息展示：支持按照智慧用水类型筛选监测情况，支持查看相关告警统计、告警明细，可依据告警类型、告警状态和不同的时间维度进行告警筛选，允许对该类告警进行批量处理，可分别导出对应的报表。</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、告警分析：可通过不同时间维度分析告警情况。可显示该类设施的设备概况。</w:t>
            </w:r>
            <w:r>
              <w:rPr>
                <w:rFonts w:hint="eastAsia" w:ascii="仿宋" w:hAnsi="仿宋" w:eastAsia="仿宋" w:cs="仿宋"/>
                <w:i w:val="0"/>
                <w:iCs w:val="0"/>
                <w:color w:val="auto"/>
                <w:kern w:val="0"/>
                <w:sz w:val="24"/>
                <w:szCs w:val="24"/>
                <w:highlight w:val="none"/>
                <w:u w:val="none"/>
                <w:lang w:val="en-US" w:eastAsia="zh-CN" w:bidi="ar"/>
              </w:rPr>
              <w:t>移动端消防水系统监测：</w:t>
            </w:r>
            <w:r>
              <w:rPr>
                <w:rFonts w:hint="default" w:ascii="仿宋" w:hAnsi="仿宋" w:eastAsia="仿宋" w:cs="仿宋"/>
                <w:i w:val="0"/>
                <w:iCs w:val="0"/>
                <w:color w:val="auto"/>
                <w:kern w:val="0"/>
                <w:sz w:val="24"/>
                <w:szCs w:val="24"/>
                <w:highlight w:val="none"/>
                <w:u w:val="none"/>
                <w:lang w:val="en-US" w:eastAsia="zh-CN" w:bidi="ar"/>
              </w:rPr>
              <w:t>支持</w:t>
            </w:r>
            <w:r>
              <w:rPr>
                <w:rFonts w:hint="eastAsia" w:ascii="仿宋" w:hAnsi="仿宋" w:eastAsia="仿宋" w:cs="仿宋"/>
                <w:i w:val="0"/>
                <w:iCs w:val="0"/>
                <w:color w:val="auto"/>
                <w:kern w:val="0"/>
                <w:sz w:val="24"/>
                <w:szCs w:val="24"/>
                <w:highlight w:val="none"/>
                <w:u w:val="none"/>
                <w:lang w:val="en-US" w:eastAsia="zh-CN" w:bidi="ar"/>
              </w:rPr>
              <w:t>在移动端查看相关数据，进行监测管理。</w:t>
            </w:r>
            <w:r>
              <w:rPr>
                <w:rFonts w:hint="default" w:ascii="仿宋" w:hAnsi="仿宋" w:eastAsia="仿宋" w:cs="仿宋"/>
                <w:i w:val="0"/>
                <w:iCs w:val="0"/>
                <w:color w:val="auto"/>
                <w:kern w:val="0"/>
                <w:sz w:val="24"/>
                <w:szCs w:val="24"/>
                <w:highlight w:val="none"/>
                <w:u w:val="none"/>
                <w:lang w:val="en-US" w:eastAsia="zh-CN" w:bidi="ar"/>
              </w:rPr>
              <w:t>当发生告警以后，可以通过电话呼叫、短信、移动端消息推送等形式进行报警信息推送。</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46A23C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0FEE94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63823A6C">
        <w:tblPrEx>
          <w:tblCellMar>
            <w:top w:w="0" w:type="dxa"/>
            <w:left w:w="108" w:type="dxa"/>
            <w:bottom w:w="0" w:type="dxa"/>
            <w:right w:w="108" w:type="dxa"/>
          </w:tblCellMar>
        </w:tblPrEx>
        <w:trPr>
          <w:trHeight w:val="38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3AC3DD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6</w:t>
            </w:r>
          </w:p>
        </w:tc>
        <w:tc>
          <w:tcPr>
            <w:tcW w:w="1214" w:type="dxa"/>
            <w:tcBorders>
              <w:top w:val="single" w:color="000000" w:sz="4" w:space="0"/>
              <w:left w:val="single" w:color="000000" w:sz="4" w:space="0"/>
              <w:bottom w:val="single" w:color="000000" w:sz="4" w:space="0"/>
              <w:right w:val="single" w:color="000000" w:sz="4" w:space="0"/>
            </w:tcBorders>
            <w:vAlign w:val="center"/>
          </w:tcPr>
          <w:p w14:paraId="254DB5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智慧式用电安全监管服务系统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225F8D0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1、设备信息展示：实现电气火灾监测设备基本信息展示、设备状态展示，需支持按照设备状态筛选。</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、报警管理。支持按照探测器故障、探测器报警、在线、离线、过温告警、过压告警、欠压告警、故障电弧告警等报警类型进行自定义筛选。</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设备自动巡检：对电气火灾探测器进行自动在线巡检，在系统中展示故障、在线、离线等巡检结果信息。报警信息可视化分析。支持当发生告警以后，可以通过电话呼叫、短信、手机端小程序消息等形式进行报警信息推送。</w:t>
            </w:r>
          </w:p>
        </w:tc>
        <w:tc>
          <w:tcPr>
            <w:tcW w:w="772" w:type="dxa"/>
            <w:tcBorders>
              <w:top w:val="single" w:color="000000" w:sz="4" w:space="0"/>
              <w:left w:val="single" w:color="000000" w:sz="4" w:space="0"/>
              <w:bottom w:val="single" w:color="000000" w:sz="4" w:space="0"/>
              <w:right w:val="single" w:color="000000" w:sz="4" w:space="0"/>
            </w:tcBorders>
            <w:vAlign w:val="center"/>
          </w:tcPr>
          <w:p w14:paraId="54BA96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1B194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5FBDA83F">
        <w:tblPrEx>
          <w:tblCellMar>
            <w:top w:w="0" w:type="dxa"/>
            <w:left w:w="108" w:type="dxa"/>
            <w:bottom w:w="0" w:type="dxa"/>
            <w:right w:w="108" w:type="dxa"/>
          </w:tblCellMar>
        </w:tblPrEx>
        <w:trPr>
          <w:trHeight w:val="174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0856663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7</w:t>
            </w:r>
          </w:p>
        </w:tc>
        <w:tc>
          <w:tcPr>
            <w:tcW w:w="1214" w:type="dxa"/>
            <w:tcBorders>
              <w:top w:val="single" w:color="000000" w:sz="4" w:space="0"/>
              <w:left w:val="single" w:color="000000" w:sz="4" w:space="0"/>
              <w:bottom w:val="single" w:color="000000" w:sz="4" w:space="0"/>
              <w:right w:val="single" w:color="000000" w:sz="4" w:space="0"/>
            </w:tcBorders>
            <w:vAlign w:val="center"/>
          </w:tcPr>
          <w:p w14:paraId="2CBD5CC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智能巡查巡检系统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343B8B02">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管理人员端：支持对巡检点位的管理</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支持查看巡检记录</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支持对隐患进行处置</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巡检人员端：支持NFC模式进行巡检打卡，支持查看巡检点位信息，支持隐患上报：支持以图片、视频或录音的形式实现隐患上报。</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、消防巡检子系统平台对消防巡检进行全方位的管理。支持NFC和二维码扫码2种巡检方式。支持器材巡检、重点区域巡检。支持创建巡检任务。</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eastAsia" w:ascii="仿宋" w:hAnsi="仿宋" w:eastAsia="仿宋" w:cs="仿宋"/>
                <w:i w:val="0"/>
                <w:iCs w:val="0"/>
                <w:strike w:val="0"/>
                <w:dstrike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隐患处置：支持隐患的核查、处理、审核、办结等全流程闭环处理过程，可查看超时完成的隐患数据；可查看上报的隐患数据。统计待核查、处理中、待复核、已办结、超时完成等隐患数量。</w:t>
            </w:r>
          </w:p>
        </w:tc>
        <w:tc>
          <w:tcPr>
            <w:tcW w:w="772" w:type="dxa"/>
            <w:tcBorders>
              <w:top w:val="single" w:color="000000" w:sz="4" w:space="0"/>
              <w:left w:val="single" w:color="000000" w:sz="4" w:space="0"/>
              <w:bottom w:val="single" w:color="000000" w:sz="4" w:space="0"/>
              <w:right w:val="single" w:color="000000" w:sz="4" w:space="0"/>
            </w:tcBorders>
            <w:vAlign w:val="center"/>
          </w:tcPr>
          <w:p w14:paraId="5EBC29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01AF52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56CE863A">
        <w:tblPrEx>
          <w:tblCellMar>
            <w:top w:w="0" w:type="dxa"/>
            <w:left w:w="108" w:type="dxa"/>
            <w:bottom w:w="0" w:type="dxa"/>
            <w:right w:w="108" w:type="dxa"/>
          </w:tblCellMar>
        </w:tblPrEx>
        <w:trPr>
          <w:trHeight w:val="656"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62C3A9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8</w:t>
            </w:r>
          </w:p>
        </w:tc>
        <w:tc>
          <w:tcPr>
            <w:tcW w:w="1214" w:type="dxa"/>
            <w:tcBorders>
              <w:top w:val="single" w:color="000000" w:sz="4" w:space="0"/>
              <w:left w:val="single" w:color="000000" w:sz="4" w:space="0"/>
              <w:bottom w:val="single" w:color="000000" w:sz="4" w:space="0"/>
              <w:right w:val="single" w:color="000000" w:sz="4" w:space="0"/>
            </w:tcBorders>
            <w:vAlign w:val="center"/>
          </w:tcPr>
          <w:p w14:paraId="45254F9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w:t>
            </w:r>
            <w:r>
              <w:rPr>
                <w:rFonts w:hint="default" w:ascii="仿宋" w:hAnsi="仿宋" w:eastAsia="仿宋" w:cs="仿宋"/>
                <w:i w:val="0"/>
                <w:iCs w:val="0"/>
                <w:color w:val="auto"/>
                <w:kern w:val="0"/>
                <w:sz w:val="24"/>
                <w:szCs w:val="24"/>
                <w:highlight w:val="none"/>
                <w:u w:val="none"/>
                <w:lang w:val="en-US" w:eastAsia="zh-CN" w:bidi="ar"/>
              </w:rPr>
              <w:t>维地图可视化</w:t>
            </w:r>
          </w:p>
        </w:tc>
        <w:tc>
          <w:tcPr>
            <w:tcW w:w="5081" w:type="dxa"/>
            <w:tcBorders>
              <w:top w:val="single" w:color="000000" w:sz="4" w:space="0"/>
              <w:left w:val="single" w:color="000000" w:sz="4" w:space="0"/>
              <w:bottom w:val="single" w:color="000000" w:sz="4" w:space="0"/>
              <w:right w:val="single" w:color="000000" w:sz="4" w:space="0"/>
            </w:tcBorders>
            <w:vAlign w:val="center"/>
          </w:tcPr>
          <w:p w14:paraId="31C9888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物联设备及传统消防报警主机部件标识：在地图底座中的标识功能。设备区分和控制：可对相关设备图层进行显示控制，不同设备可分别调整显示/隐藏，不同设备需使用不同图标进行直观区分，且在平台端可提供专用工具调整位置。</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、传统消防报警系统点位与智慧消防点位数据、物联网设备数据采集与对接。项目所涉及的各类设备设施打点（摄像头、烟感手报等报警设备）。</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提供设备打点专用工具，支持提供设备打点、器材打点、文字标注。可在打点工具内显示点位数量；可显示单个设备的设备位置、点位名称、点位坐标、楼层坐标、国际移动设备识别码（IMEI）；可显示器材点位的设备号、器材位置、点位坐标、楼层坐标。</w:t>
            </w:r>
            <w:r>
              <w:rPr>
                <w:rFonts w:hint="default" w:ascii="仿宋" w:hAnsi="仿宋" w:eastAsia="仿宋" w:cs="仿宋"/>
                <w:b/>
                <w:bCs/>
                <w:i w:val="0"/>
                <w:iCs w:val="0"/>
                <w:color w:val="auto"/>
                <w:kern w:val="0"/>
                <w:sz w:val="24"/>
                <w:szCs w:val="24"/>
                <w:highlight w:val="none"/>
                <w:u w:val="none"/>
                <w:lang w:val="en-US" w:eastAsia="zh-CN" w:bidi="ar"/>
              </w:rPr>
              <w:t>（需提供系统截图</w:t>
            </w:r>
            <w:r>
              <w:rPr>
                <w:rFonts w:hint="eastAsia" w:ascii="仿宋" w:hAnsi="仿宋" w:eastAsia="仿宋" w:cs="仿宋"/>
                <w:b/>
                <w:bCs/>
                <w:i w:val="0"/>
                <w:iCs w:val="0"/>
                <w:color w:val="auto"/>
                <w:kern w:val="0"/>
                <w:sz w:val="24"/>
                <w:szCs w:val="24"/>
                <w:highlight w:val="none"/>
                <w:u w:val="none"/>
                <w:lang w:val="en-US" w:eastAsia="zh-CN" w:bidi="ar"/>
              </w:rPr>
              <w:t>和</w:t>
            </w:r>
            <w:r>
              <w:rPr>
                <w:rFonts w:hint="default" w:ascii="仿宋" w:hAnsi="仿宋" w:eastAsia="仿宋" w:cs="仿宋"/>
                <w:b/>
                <w:bCs/>
                <w:i w:val="0"/>
                <w:iCs w:val="0"/>
                <w:color w:val="auto"/>
                <w:kern w:val="0"/>
                <w:sz w:val="24"/>
                <w:szCs w:val="24"/>
                <w:highlight w:val="none"/>
                <w:u w:val="none"/>
                <w:lang w:val="en-US" w:eastAsia="zh-CN" w:bidi="ar"/>
              </w:rPr>
              <w:t>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62C509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E8F32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2DA85A1D">
        <w:tblPrEx>
          <w:tblCellMar>
            <w:top w:w="0" w:type="dxa"/>
            <w:left w:w="108" w:type="dxa"/>
            <w:bottom w:w="0" w:type="dxa"/>
            <w:right w:w="108" w:type="dxa"/>
          </w:tblCellMar>
        </w:tblPrEx>
        <w:trPr>
          <w:trHeight w:val="594"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125EE1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9</w:t>
            </w:r>
          </w:p>
        </w:tc>
        <w:tc>
          <w:tcPr>
            <w:tcW w:w="1214" w:type="dxa"/>
            <w:tcBorders>
              <w:top w:val="single" w:color="000000" w:sz="4" w:space="0"/>
              <w:left w:val="single" w:color="000000" w:sz="4" w:space="0"/>
              <w:bottom w:val="single" w:color="000000" w:sz="4" w:space="0"/>
              <w:right w:val="single" w:color="000000" w:sz="4" w:space="0"/>
            </w:tcBorders>
            <w:vAlign w:val="center"/>
          </w:tcPr>
          <w:p w14:paraId="5BBF086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视频联动</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警情复核</w:t>
            </w:r>
          </w:p>
        </w:tc>
        <w:tc>
          <w:tcPr>
            <w:tcW w:w="5081" w:type="dxa"/>
            <w:tcBorders>
              <w:top w:val="single" w:color="000000" w:sz="4" w:space="0"/>
              <w:left w:val="single" w:color="000000" w:sz="4" w:space="0"/>
              <w:bottom w:val="single" w:color="000000" w:sz="4" w:space="0"/>
              <w:right w:val="single" w:color="000000" w:sz="4" w:space="0"/>
            </w:tcBorders>
            <w:vAlign w:val="center"/>
          </w:tcPr>
          <w:p w14:paraId="71B042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警情定位：发生告警时，可对告警点位进行快速定位，并通过醒目方式在平台内进行告警提醒；发出告警的设备需在大屏内醒目显示，可直观看到所处位置；支持对告警内容进行直观分类，可通过列表形式直观显示当前所有告警，可通过点击相关告警条目重新定位至告警位置</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▲2、告警</w:t>
            </w:r>
            <w:r>
              <w:rPr>
                <w:rFonts w:hint="eastAsia" w:ascii="仿宋" w:hAnsi="仿宋" w:eastAsia="仿宋" w:cs="仿宋"/>
                <w:i w:val="0"/>
                <w:iCs w:val="0"/>
                <w:color w:val="auto"/>
                <w:kern w:val="0"/>
                <w:sz w:val="24"/>
                <w:szCs w:val="24"/>
                <w:highlight w:val="none"/>
                <w:u w:val="none"/>
                <w:lang w:val="en-US" w:eastAsia="zh-CN" w:bidi="ar"/>
              </w:rPr>
              <w:t>与视频</w:t>
            </w:r>
            <w:r>
              <w:rPr>
                <w:rFonts w:hint="default" w:ascii="仿宋" w:hAnsi="仿宋" w:eastAsia="仿宋" w:cs="仿宋"/>
                <w:i w:val="0"/>
                <w:iCs w:val="0"/>
                <w:color w:val="auto"/>
                <w:kern w:val="0"/>
                <w:sz w:val="24"/>
                <w:szCs w:val="24"/>
                <w:highlight w:val="none"/>
                <w:u w:val="none"/>
                <w:lang w:val="en-US" w:eastAsia="zh-CN" w:bidi="ar"/>
              </w:rPr>
              <w:t>弹窗</w:t>
            </w:r>
            <w:r>
              <w:rPr>
                <w:rFonts w:hint="eastAsia" w:ascii="仿宋" w:hAnsi="仿宋" w:eastAsia="仿宋" w:cs="仿宋"/>
                <w:i w:val="0"/>
                <w:iCs w:val="0"/>
                <w:color w:val="auto"/>
                <w:kern w:val="0"/>
                <w:sz w:val="24"/>
                <w:szCs w:val="24"/>
                <w:highlight w:val="none"/>
                <w:u w:val="none"/>
                <w:lang w:val="en-US" w:eastAsia="zh-CN" w:bidi="ar"/>
              </w:rPr>
              <w:t>联动</w:t>
            </w:r>
            <w:r>
              <w:rPr>
                <w:rFonts w:hint="default" w:ascii="仿宋" w:hAnsi="仿宋" w:eastAsia="仿宋" w:cs="仿宋"/>
                <w:i w:val="0"/>
                <w:iCs w:val="0"/>
                <w:color w:val="auto"/>
                <w:kern w:val="0"/>
                <w:sz w:val="24"/>
                <w:szCs w:val="24"/>
                <w:highlight w:val="none"/>
                <w:u w:val="none"/>
                <w:lang w:val="en-US" w:eastAsia="zh-CN" w:bidi="ar"/>
              </w:rPr>
              <w:t>展示：发生告警时，可自动弹出告警提示信息，可通过文字直观确认告警位置、告警设备等重要信息，可通过文字展示标准处置流程；可对告警情况进行确认，支持针对不同警情状态进行处理，处理时需填写或选择告警情况，支持自动记录告警时间和接警时间，支持填写处理说明或上传处理说明相关图片。告警弹窗内容（告警名称、弹窗告警开启关闭、语音告警开启关闭、语音播报次数）可在驾驶舱页面进行配置。周边救援设施展示：当发生告警时，系统可以列表的形式展示告警点位周边消防栓、灭火器等消防救援设备设施的具体位置及状态信息，并在地图中高亮显示周边可用救援设备。告警视频联动分析：当发生告警时，可自动弹出附近监控设备画面，依据设备和发生位置的距离关系由近及远进行排序；设备画面弹出时不得遮挡告警位置，方便同时确认位置信息和实际画面。</w:t>
            </w:r>
            <w:r>
              <w:rPr>
                <w:rFonts w:hint="default" w:ascii="仿宋" w:hAnsi="仿宋" w:eastAsia="仿宋" w:cs="仿宋"/>
                <w:b/>
                <w:bCs/>
                <w:i w:val="0"/>
                <w:iCs w:val="0"/>
                <w:color w:val="auto"/>
                <w:kern w:val="0"/>
                <w:sz w:val="24"/>
                <w:szCs w:val="24"/>
                <w:highlight w:val="none"/>
                <w:u w:val="none"/>
                <w:lang w:val="en-US" w:eastAsia="zh-CN" w:bidi="ar"/>
              </w:rPr>
              <w:t>（</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r>
              <w:rPr>
                <w:rFonts w:hint="default" w:ascii="仿宋" w:hAnsi="仿宋" w:eastAsia="仿宋" w:cs="仿宋"/>
                <w:b/>
                <w:bCs/>
                <w:i w:val="0"/>
                <w:iCs w:val="0"/>
                <w:strike w:val="0"/>
                <w:dstrike w:val="0"/>
                <w:color w:val="auto"/>
                <w:kern w:val="0"/>
                <w:sz w:val="24"/>
                <w:szCs w:val="24"/>
                <w:highlight w:val="none"/>
                <w:u w:val="none"/>
                <w:lang w:val="en-US" w:eastAsia="zh-CN" w:bidi="ar"/>
              </w:rPr>
              <w:t>）</w:t>
            </w:r>
            <w:r>
              <w:rPr>
                <w:rFonts w:hint="default" w:ascii="仿宋" w:hAnsi="仿宋" w:eastAsia="仿宋" w:cs="仿宋"/>
                <w:b/>
                <w:bCs/>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、告警处置反馈：以图片、文字等形式进行事件处置情况反馈，实现事件处置反馈闭环。</w:t>
            </w:r>
          </w:p>
        </w:tc>
        <w:tc>
          <w:tcPr>
            <w:tcW w:w="772" w:type="dxa"/>
            <w:tcBorders>
              <w:top w:val="single" w:color="000000" w:sz="4" w:space="0"/>
              <w:left w:val="single" w:color="000000" w:sz="4" w:space="0"/>
              <w:bottom w:val="single" w:color="000000" w:sz="4" w:space="0"/>
              <w:right w:val="single" w:color="000000" w:sz="4" w:space="0"/>
            </w:tcBorders>
            <w:vAlign w:val="center"/>
          </w:tcPr>
          <w:p w14:paraId="752712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45CD52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bl>
    <w:p w14:paraId="56C2CD2A">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lang w:val="en-US" w:eastAsia="zh-CN"/>
        </w:rPr>
        <w:t>2.</w:t>
      </w:r>
      <w:r>
        <w:rPr>
          <w:rFonts w:ascii="仿宋" w:hAnsi="仿宋" w:eastAsia="仿宋" w:cs="仿宋"/>
          <w:b/>
          <w:color w:val="auto"/>
          <w:sz w:val="24"/>
          <w:szCs w:val="24"/>
          <w:highlight w:val="none"/>
        </w:rPr>
        <w:t>售后服务要求</w:t>
      </w:r>
    </w:p>
    <w:p w14:paraId="55BD75AD">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rPr>
        <w:t>本项目的所有设备类免费保修期限不少于</w:t>
      </w:r>
      <w:r>
        <w:rPr>
          <w:rFonts w:ascii="仿宋" w:hAnsi="仿宋" w:eastAsia="仿宋" w:cs="仿宋"/>
          <w:color w:val="auto"/>
          <w:kern w:val="0"/>
          <w:sz w:val="24"/>
          <w:szCs w:val="24"/>
          <w:highlight w:val="none"/>
          <w:lang w:val="en-US" w:eastAsia="zh-CN"/>
        </w:rPr>
        <w:t>3</w:t>
      </w:r>
      <w:r>
        <w:rPr>
          <w:rFonts w:ascii="仿宋" w:hAnsi="仿宋" w:eastAsia="仿宋" w:cs="仿宋"/>
          <w:color w:val="auto"/>
          <w:kern w:val="0"/>
          <w:sz w:val="24"/>
          <w:szCs w:val="24"/>
          <w:highlight w:val="none"/>
        </w:rPr>
        <w:t>年；软件系统运维免费质保期限不少于</w:t>
      </w:r>
      <w:r>
        <w:rPr>
          <w:rFonts w:ascii="仿宋" w:hAnsi="仿宋" w:eastAsia="仿宋" w:cs="仿宋"/>
          <w:color w:val="auto"/>
          <w:kern w:val="0"/>
          <w:sz w:val="24"/>
          <w:szCs w:val="24"/>
          <w:highlight w:val="none"/>
          <w:lang w:val="en-US" w:eastAsia="zh-CN"/>
        </w:rPr>
        <w:t>3</w:t>
      </w:r>
      <w:r>
        <w:rPr>
          <w:rFonts w:ascii="仿宋" w:hAnsi="仿宋" w:eastAsia="仿宋" w:cs="仿宋"/>
          <w:color w:val="auto"/>
          <w:kern w:val="0"/>
          <w:sz w:val="24"/>
          <w:szCs w:val="24"/>
          <w:highlight w:val="none"/>
        </w:rPr>
        <w:t>年（从项目验收合格之日起计）。同时针对项目对指导性响应、远程网络响应、赴现场响应时间做出承诺。</w:t>
      </w:r>
    </w:p>
    <w:p w14:paraId="18863263">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lang w:val="en-US" w:eastAsia="zh-CN"/>
        </w:rPr>
        <w:t>3.</w:t>
      </w:r>
      <w:r>
        <w:rPr>
          <w:rFonts w:ascii="仿宋" w:hAnsi="仿宋" w:eastAsia="仿宋" w:cs="仿宋"/>
          <w:b/>
          <w:color w:val="auto"/>
          <w:sz w:val="24"/>
          <w:szCs w:val="24"/>
          <w:highlight w:val="none"/>
        </w:rPr>
        <w:t>付款方式</w:t>
      </w:r>
    </w:p>
    <w:p w14:paraId="64DA1AD2">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lang w:val="en-US" w:eastAsia="zh-CN"/>
        </w:rPr>
        <w:t>根据</w:t>
      </w:r>
      <w:r>
        <w:rPr>
          <w:rFonts w:ascii="仿宋" w:hAnsi="仿宋" w:eastAsia="仿宋" w:cs="仿宋"/>
          <w:color w:val="auto"/>
          <w:kern w:val="0"/>
          <w:sz w:val="24"/>
          <w:szCs w:val="24"/>
          <w:highlight w:val="none"/>
        </w:rPr>
        <w:t>《浙江省财政厅关于进一步发挥政府采购政策功能全力推动经济稳进提质的通知》（浙财采监〔2022〕3号）文件要求执行，具体付款方式由双方协商后在合同中明确。</w:t>
      </w:r>
    </w:p>
    <w:p w14:paraId="46EE8267">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szCs w:val="24"/>
          <w:highlight w:val="none"/>
          <w:lang w:eastAsia="zh-CN"/>
        </w:rPr>
      </w:pPr>
      <w:r>
        <w:rPr>
          <w:rFonts w:ascii="仿宋" w:hAnsi="仿宋" w:eastAsia="仿宋" w:cs="仿宋"/>
          <w:b/>
          <w:color w:val="auto"/>
          <w:sz w:val="24"/>
          <w:szCs w:val="24"/>
          <w:highlight w:val="none"/>
          <w:lang w:val="en-US" w:eastAsia="zh-CN"/>
        </w:rPr>
        <w:t>4.</w:t>
      </w:r>
      <w:r>
        <w:rPr>
          <w:rFonts w:ascii="仿宋" w:hAnsi="仿宋" w:eastAsia="仿宋" w:cs="仿宋"/>
          <w:b/>
          <w:color w:val="auto"/>
          <w:sz w:val="24"/>
          <w:szCs w:val="24"/>
          <w:highlight w:val="none"/>
        </w:rPr>
        <w:t>其他要求</w:t>
      </w:r>
    </w:p>
    <w:p w14:paraId="33F33A7C">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lang w:val="en-US" w:eastAsia="zh-CN"/>
        </w:rPr>
        <w:t xml:space="preserve">4.1 </w:t>
      </w:r>
      <w:r>
        <w:rPr>
          <w:rFonts w:ascii="仿宋" w:hAnsi="仿宋" w:eastAsia="仿宋" w:cs="仿宋"/>
          <w:color w:val="auto"/>
          <w:kern w:val="0"/>
          <w:sz w:val="24"/>
          <w:szCs w:val="24"/>
          <w:highlight w:val="none"/>
        </w:rPr>
        <w:t>维保期内未涉及产品框架改造，中标方应按医院业务需求修改，不收取任何费用。</w:t>
      </w:r>
    </w:p>
    <w:p w14:paraId="63F1462D">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lang w:val="en-US" w:eastAsia="zh-CN"/>
        </w:rPr>
        <w:t xml:space="preserve">4.2 </w:t>
      </w:r>
      <w:r>
        <w:rPr>
          <w:rFonts w:ascii="仿宋" w:hAnsi="仿宋" w:eastAsia="仿宋" w:cs="仿宋"/>
          <w:color w:val="auto"/>
          <w:kern w:val="0"/>
          <w:sz w:val="24"/>
          <w:szCs w:val="24"/>
          <w:highlight w:val="none"/>
        </w:rPr>
        <w:t>此项目实施过程中所产生的一切实施费用均由中标方承担。</w:t>
      </w:r>
    </w:p>
    <w:p w14:paraId="5956C4D3">
      <w:pPr>
        <w:pStyle w:val="66"/>
        <w:keepNext w:val="0"/>
        <w:keepLines w:val="0"/>
        <w:pageBreakBefore w:val="0"/>
        <w:widowControl w:val="0"/>
        <w:kinsoku/>
        <w:overflowPunct/>
        <w:autoSpaceDE/>
        <w:bidi w:val="0"/>
        <w:snapToGrid w:val="0"/>
        <w:spacing w:line="440" w:lineRule="exact"/>
        <w:ind w:firstLine="480"/>
        <w:textAlignment w:val="auto"/>
        <w:rPr>
          <w:rFonts w:ascii="仿宋" w:hAnsi="仿宋" w:eastAsia="仿宋" w:cs="仿宋"/>
          <w:color w:val="auto"/>
          <w:kern w:val="0"/>
          <w:sz w:val="24"/>
          <w:szCs w:val="24"/>
          <w:highlight w:val="none"/>
          <w:lang w:val="en-US" w:eastAsia="zh-CN"/>
        </w:rPr>
      </w:pPr>
    </w:p>
    <w:p w14:paraId="0FA7967E">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lang w:val="en-US" w:eastAsia="zh-CN"/>
        </w:rPr>
      </w:pPr>
    </w:p>
    <w:p w14:paraId="0AAF3F21">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rPr>
      </w:pPr>
    </w:p>
    <w:p w14:paraId="30BB5BAD">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rPr>
      </w:pPr>
    </w:p>
    <w:p w14:paraId="57F4684C">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rPr>
      </w:pPr>
    </w:p>
    <w:p w14:paraId="06D44251">
      <w:pPr>
        <w:keepNext w:val="0"/>
        <w:keepLines w:val="0"/>
        <w:pageBreakBefore w:val="0"/>
        <w:widowControl/>
        <w:numPr>
          <w:ilvl w:val="0"/>
          <w:numId w:val="0"/>
        </w:numPr>
        <w:kinsoku/>
        <w:overflowPunct/>
        <w:autoSpaceDE/>
        <w:bidi w:val="0"/>
        <w:snapToGrid w:val="0"/>
        <w:spacing w:line="440" w:lineRule="exact"/>
        <w:ind w:left="0" w:firstLine="480"/>
        <w:textAlignment w:val="auto"/>
        <w:rPr>
          <w:rFonts w:ascii="仿宋" w:hAnsi="仿宋" w:eastAsia="仿宋" w:cs="仿宋"/>
          <w:color w:val="auto"/>
          <w:kern w:val="0"/>
          <w:sz w:val="24"/>
          <w:szCs w:val="24"/>
          <w:highlight w:val="none"/>
        </w:rPr>
      </w:pPr>
    </w:p>
    <w:p w14:paraId="60EFD089">
      <w:pPr>
        <w:pStyle w:val="66"/>
        <w:spacing w:line="288" w:lineRule="auto"/>
        <w:jc w:val="center"/>
        <w:rPr>
          <w:rFonts w:ascii="仿宋" w:hAnsi="仿宋" w:eastAsia="仿宋" w:cs="仿宋"/>
          <w:b/>
          <w:color w:val="auto"/>
          <w:sz w:val="36"/>
          <w:szCs w:val="36"/>
          <w:highlight w:val="none"/>
        </w:rPr>
      </w:pPr>
    </w:p>
    <w:p w14:paraId="747FDE43">
      <w:pPr>
        <w:pStyle w:val="66"/>
        <w:spacing w:line="288" w:lineRule="auto"/>
        <w:jc w:val="both"/>
        <w:rPr>
          <w:rFonts w:ascii="仿宋" w:hAnsi="仿宋" w:eastAsia="仿宋" w:cs="仿宋"/>
          <w:b/>
          <w:color w:val="auto"/>
          <w:sz w:val="36"/>
          <w:szCs w:val="36"/>
          <w:highlight w:val="none"/>
        </w:rPr>
      </w:pPr>
      <w:r>
        <w:rPr>
          <w:color w:val="auto"/>
          <w:highlight w:val="none"/>
        </w:rPr>
        <w:br w:type="page"/>
      </w:r>
    </w:p>
    <w:p w14:paraId="058B5E94">
      <w:pPr>
        <w:pStyle w:val="66"/>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第四部分 合同主要条款</w:t>
      </w:r>
    </w:p>
    <w:p w14:paraId="49A78D37">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1.合同范围</w:t>
      </w:r>
    </w:p>
    <w:p w14:paraId="2C992BEF">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本合同条款适用于本次采购活动。项目实施范围详见——招标文件和投标文件及补充文件、承诺书等。</w:t>
      </w:r>
    </w:p>
    <w:p w14:paraId="72CEE92C">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2.合同的签订</w:t>
      </w:r>
    </w:p>
    <w:p w14:paraId="74504689">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2.1中标投标人须在中标通知书发出30日内按招标文件和中标投标人投标文件的约定，凭中标通知书和采购人在约定的时间、地点，由法定代表人或其授权代表与采购人签订书面合同。</w:t>
      </w:r>
    </w:p>
    <w:p w14:paraId="41282C99">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2.1.1服务地点：用户指定地点。</w:t>
      </w:r>
    </w:p>
    <w:p w14:paraId="2B8FCC30">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2.1.2服务期：按标项内具体要求执行。</w:t>
      </w:r>
    </w:p>
    <w:p w14:paraId="0F1BCBC4">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2.2服务内容：中标投标人本次招标服务的的所有内容。</w:t>
      </w:r>
    </w:p>
    <w:p w14:paraId="4250FF60">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3.付款方式：按标项内具体要求执行。</w:t>
      </w:r>
    </w:p>
    <w:p w14:paraId="76C5574D">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4.合同修改</w:t>
      </w:r>
    </w:p>
    <w:p w14:paraId="2442EFDE">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4.1双方的任何一方对合同内容提出修改，均应以书面形式通知对方，并达成由双方签署的合同修改书，须报政府采购管理部门批准。</w:t>
      </w:r>
    </w:p>
    <w:p w14:paraId="4B22F3E3">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4.2除非采购人对服务内容提出修改，中标投标人不得对合同价格提出修改要求。</w:t>
      </w:r>
    </w:p>
    <w:p w14:paraId="756F85D1">
      <w:pPr>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kern w:val="2"/>
          <w:sz w:val="24"/>
          <w:szCs w:val="24"/>
          <w:highlight w:val="none"/>
          <w:lang w:val="en-US" w:eastAsia="zh-CN" w:bidi="ar-SA"/>
        </w:rPr>
        <w:t>5.</w:t>
      </w:r>
      <w:r>
        <w:rPr>
          <w:rFonts w:ascii="仿宋" w:hAnsi="仿宋" w:eastAsia="仿宋" w:cs="仿宋"/>
          <w:color w:val="auto"/>
          <w:sz w:val="24"/>
          <w:szCs w:val="24"/>
          <w:highlight w:val="none"/>
        </w:rPr>
        <w:t>质量标准和验收</w:t>
      </w:r>
    </w:p>
    <w:p w14:paraId="023F0640">
      <w:pPr>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1</w:t>
      </w:r>
      <w:r>
        <w:rPr>
          <w:rFonts w:ascii="仿宋" w:hAnsi="仿宋" w:eastAsia="仿宋" w:cs="仿宋"/>
          <w:color w:val="auto"/>
          <w:sz w:val="24"/>
          <w:highlight w:val="none"/>
        </w:rPr>
        <w:t>中标人提供的服务必须是经合法途径取得的。</w:t>
      </w:r>
    </w:p>
    <w:p w14:paraId="3638DF98">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2</w:t>
      </w:r>
      <w:r>
        <w:rPr>
          <w:rFonts w:ascii="仿宋" w:hAnsi="仿宋" w:eastAsia="仿宋" w:cs="仿宋"/>
          <w:color w:val="auto"/>
          <w:sz w:val="24"/>
          <w:highlight w:val="none"/>
        </w:rPr>
        <w:t>中标人应按现行的国家或行业技术及验收标准和招标文件的规定提供服务，因中标人提供服务达不到约定的质量标准，中标人承担违约责任。</w:t>
      </w:r>
    </w:p>
    <w:p w14:paraId="7C1EFFBB">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3</w:t>
      </w:r>
      <w:r>
        <w:rPr>
          <w:rFonts w:ascii="仿宋" w:hAnsi="仿宋" w:eastAsia="仿宋" w:cs="仿宋"/>
          <w:color w:val="auto"/>
          <w:sz w:val="24"/>
          <w:highlight w:val="none"/>
        </w:rPr>
        <w:t>验收由使用单位按规定组织相关人员或专家进行。</w:t>
      </w:r>
    </w:p>
    <w:p w14:paraId="574D756E">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4</w:t>
      </w:r>
      <w:r>
        <w:rPr>
          <w:rFonts w:ascii="仿宋" w:hAnsi="仿宋" w:eastAsia="仿宋" w:cs="仿宋"/>
          <w:color w:val="auto"/>
          <w:sz w:val="24"/>
          <w:highlight w:val="none"/>
        </w:rPr>
        <w:t>双方对服务的质量有争议的，由双方同意的专业检测机构鉴定，所需</w:t>
      </w:r>
      <w:r>
        <w:rPr>
          <w:rFonts w:ascii="仿宋" w:hAnsi="仿宋" w:eastAsia="仿宋" w:cs="仿宋"/>
          <w:color w:val="auto"/>
          <w:sz w:val="24"/>
          <w:highlight w:val="none"/>
          <w:lang w:eastAsia="zh-CN"/>
        </w:rPr>
        <w:t>费用</w:t>
      </w:r>
      <w:r>
        <w:rPr>
          <w:rFonts w:ascii="仿宋" w:hAnsi="仿宋" w:eastAsia="仿宋" w:cs="仿宋"/>
          <w:color w:val="auto"/>
          <w:sz w:val="24"/>
          <w:highlight w:val="none"/>
        </w:rPr>
        <w:t>及因此造成的损失由责任方承担，双方均有责任的，双方根据其责任分别承担。</w:t>
      </w:r>
    </w:p>
    <w:p w14:paraId="6A399522">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6.违约责任</w:t>
      </w:r>
    </w:p>
    <w:p w14:paraId="2A2E7918">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中标人在合同期间发生违法违纪、违规收费、损害采购人利益、严重失信等不良行为的，采购人有权终止合同。</w:t>
      </w:r>
    </w:p>
    <w:p w14:paraId="6A6B64FE">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7．违约赔偿</w:t>
      </w:r>
    </w:p>
    <w:p w14:paraId="074F93DB">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7.1除不可抗力外，如中标人发生不能按期完成服务内容，采购人发生中途变更等情况，应及时以书面形式通知对方。双方应本着友好的态度进行协商，妥善解决。如协商无效，按规定处以违约金。</w:t>
      </w:r>
    </w:p>
    <w:p w14:paraId="5F5B9E73">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7.2采购人在规定时间无正当理由拒签合同者，以招标违约处理，并赔偿中标人由此造成的直接经济损失。</w:t>
      </w:r>
    </w:p>
    <w:p w14:paraId="44326C4B">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8.不可抗力</w:t>
      </w:r>
    </w:p>
    <w:p w14:paraId="4FDA66BA">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8.1如果双方中任何一方由于战争、严重火灾、水灾、台风和地震以及其它经双方同意属于不可抗力的事故，致使合同履行受阻时，履行合同的期限应予延长，延长的期限应相当于事故所影响的时间。</w:t>
      </w:r>
    </w:p>
    <w:p w14:paraId="1F673584">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8.2受事故影响的一方应在不可抗力的事故发生后尽快以电报或电传通知另一方，并在事故发生后14天内，将有关部门出具的证明文件用挂号信航寄给或送给另一方。如果不可抗力影响时间延续120天以上的， 双方应通过友好协商在合理的时间内达成进一步履行合同的协议。</w:t>
      </w:r>
    </w:p>
    <w:p w14:paraId="3FBE0894">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9.解决合同纠纷的方式</w:t>
      </w:r>
    </w:p>
    <w:p w14:paraId="01B60A81">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9.1凡有关本合同或与本合同中发生的争端，双方应通过友好协商，妥善解决。如通过协商仍不能解决时，可向当地的仲裁机构申请仲裁或人民法院起诉。</w:t>
      </w:r>
    </w:p>
    <w:p w14:paraId="72DC81F1">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9.2仲裁和诉讼费用除仲裁机构和人民法院另有裁决外，由败诉方承担。</w:t>
      </w:r>
    </w:p>
    <w:p w14:paraId="4D601232">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9.3在仲裁和诉讼期间，除正在进行裁定的部分外，本合同其他部分应继续执行。</w:t>
      </w:r>
    </w:p>
    <w:p w14:paraId="06D7F180">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9.4合同应在双方签字盖章后开始生效。</w:t>
      </w:r>
    </w:p>
    <w:p w14:paraId="0A75CB33">
      <w:pPr>
        <w:spacing w:line="288" w:lineRule="auto"/>
        <w:rPr>
          <w:rFonts w:ascii="仿宋" w:hAnsi="仿宋" w:eastAsia="仿宋" w:cs="仿宋"/>
          <w:color w:val="auto"/>
          <w:sz w:val="24"/>
          <w:highlight w:val="none"/>
        </w:rPr>
        <w:sectPr>
          <w:footerReference r:id="rId3" w:type="default"/>
          <w:pgSz w:w="11906" w:h="16838"/>
          <w:pgMar w:top="1418" w:right="1304" w:bottom="1418" w:left="1304" w:header="0" w:footer="794" w:gutter="0"/>
          <w:pgNumType w:fmt="decimal"/>
          <w:cols w:space="720" w:num="1"/>
          <w:formProt w:val="0"/>
          <w:docGrid w:linePitch="285" w:charSpace="0"/>
        </w:sectPr>
      </w:pPr>
      <w:r>
        <w:rPr>
          <w:rFonts w:ascii="仿宋" w:hAnsi="仿宋" w:eastAsia="仿宋" w:cs="仿宋"/>
          <w:color w:val="auto"/>
          <w:sz w:val="24"/>
          <w:highlight w:val="none"/>
        </w:rPr>
        <w:t>（注：在正式签约时，根据上述精神应拟就更为详尽的合同书）</w:t>
      </w:r>
    </w:p>
    <w:p w14:paraId="63AE4D2E">
      <w:pPr>
        <w:numPr>
          <w:ilvl w:val="0"/>
          <w:numId w:val="0"/>
        </w:numPr>
        <w:spacing w:line="288" w:lineRule="auto"/>
        <w:jc w:val="center"/>
        <w:outlineLvl w:val="0"/>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第五部分 评标办法及评分标准</w:t>
      </w:r>
    </w:p>
    <w:p w14:paraId="078AEA49">
      <w:pPr>
        <w:spacing w:line="280" w:lineRule="auto"/>
        <w:rPr>
          <w:rFonts w:ascii="仿宋" w:hAnsi="仿宋" w:eastAsia="仿宋" w:cs="仿宋"/>
          <w:b/>
          <w:iCs/>
          <w:color w:val="auto"/>
          <w:sz w:val="24"/>
          <w:szCs w:val="36"/>
          <w:highlight w:val="none"/>
        </w:rPr>
      </w:pPr>
    </w:p>
    <w:p w14:paraId="42AECD58">
      <w:pPr>
        <w:keepNext w:val="0"/>
        <w:keepLines w:val="0"/>
        <w:pageBreakBefore w:val="0"/>
        <w:widowControl w:val="0"/>
        <w:kinsoku/>
        <w:overflowPunct/>
        <w:autoSpaceDE/>
        <w:bidi w:val="0"/>
        <w:snapToGrid/>
        <w:spacing w:line="40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w:t>
      </w:r>
      <w:r>
        <w:rPr>
          <w:rFonts w:ascii="仿宋" w:hAnsi="仿宋" w:eastAsia="仿宋" w:cs="仿宋"/>
          <w:b/>
          <w:color w:val="auto"/>
          <w:sz w:val="24"/>
          <w:szCs w:val="24"/>
          <w:highlight w:val="none"/>
          <w:lang w:eastAsia="zh-CN"/>
        </w:rPr>
        <w:t>.</w:t>
      </w:r>
      <w:r>
        <w:rPr>
          <w:rFonts w:ascii="仿宋" w:hAnsi="仿宋" w:eastAsia="仿宋" w:cs="仿宋"/>
          <w:b/>
          <w:color w:val="auto"/>
          <w:sz w:val="24"/>
          <w:szCs w:val="24"/>
          <w:highlight w:val="none"/>
        </w:rPr>
        <w:t>评标方法：</w:t>
      </w:r>
    </w:p>
    <w:p w14:paraId="1A07584B">
      <w:pPr>
        <w:keepNext w:val="0"/>
        <w:keepLines w:val="0"/>
        <w:pageBreakBefore w:val="0"/>
        <w:widowControl w:val="0"/>
        <w:kinsoku/>
        <w:overflowPunct/>
        <w:autoSpaceDE/>
        <w:bidi w:val="0"/>
        <w:snapToGrid/>
        <w:spacing w:line="400" w:lineRule="exact"/>
        <w:ind w:firstLine="480"/>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1D842990">
      <w:pPr>
        <w:keepNext w:val="0"/>
        <w:keepLines w:val="0"/>
        <w:pageBreakBefore w:val="0"/>
        <w:widowControl w:val="0"/>
        <w:kinsoku/>
        <w:overflowPunct/>
        <w:autoSpaceDE/>
        <w:bidi w:val="0"/>
        <w:snapToGrid/>
        <w:spacing w:line="400" w:lineRule="exact"/>
        <w:ind w:firstLine="472"/>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496A1E3">
      <w:pPr>
        <w:keepNext w:val="0"/>
        <w:keepLines w:val="0"/>
        <w:pageBreakBefore w:val="0"/>
        <w:widowControl w:val="0"/>
        <w:kinsoku/>
        <w:overflowPunct/>
        <w:autoSpaceDE/>
        <w:bidi w:val="0"/>
        <w:snapToGrid/>
        <w:spacing w:line="400" w:lineRule="exact"/>
        <w:ind w:firstLine="482"/>
        <w:jc w:val="left"/>
        <w:textAlignment w:val="auto"/>
        <w:rPr>
          <w:rFonts w:ascii="仿宋" w:hAnsi="仿宋" w:eastAsia="仿宋" w:cs="仿宋"/>
          <w:color w:val="auto"/>
          <w:sz w:val="24"/>
          <w:szCs w:val="24"/>
          <w:highlight w:val="none"/>
        </w:rPr>
      </w:pPr>
      <w:r>
        <w:rPr>
          <w:rFonts w:ascii="仿宋" w:hAnsi="仿宋" w:eastAsia="仿宋" w:cs="仿宋"/>
          <w:b/>
          <w:color w:val="auto"/>
          <w:sz w:val="24"/>
          <w:szCs w:val="24"/>
          <w:highlight w:val="none"/>
        </w:rPr>
        <w:t>非单一产品采购项目，采购人应当根据采购项目技术构成、产品价格比重等合理确定核心产品，并在招标文件中载明。多家投标人提供的核心产品品牌相同的，按前款规定处理。</w:t>
      </w:r>
    </w:p>
    <w:p w14:paraId="2D424504">
      <w:pPr>
        <w:keepNext w:val="0"/>
        <w:keepLines w:val="0"/>
        <w:pageBreakBefore w:val="0"/>
        <w:widowControl w:val="0"/>
        <w:numPr>
          <w:ilvl w:val="0"/>
          <w:numId w:val="0"/>
        </w:numPr>
        <w:kinsoku/>
        <w:overflowPunct/>
        <w:autoSpaceDE/>
        <w:bidi w:val="0"/>
        <w:snapToGrid/>
        <w:spacing w:line="400" w:lineRule="exact"/>
        <w:ind w:left="0" w:firstLine="0"/>
        <w:jc w:val="left"/>
        <w:textAlignment w:val="auto"/>
        <w:rPr>
          <w:rFonts w:ascii="仿宋" w:hAnsi="仿宋" w:eastAsia="仿宋" w:cs="仿宋"/>
          <w:color w:val="auto"/>
          <w:sz w:val="24"/>
          <w:szCs w:val="24"/>
          <w:highlight w:val="none"/>
        </w:rPr>
      </w:pPr>
      <w:r>
        <w:rPr>
          <w:rFonts w:ascii="仿宋" w:hAnsi="仿宋" w:eastAsia="仿宋" w:cs="仿宋"/>
          <w:b/>
          <w:color w:val="auto"/>
          <w:sz w:val="24"/>
          <w:szCs w:val="24"/>
          <w:highlight w:val="none"/>
          <w:lang w:val="en-US" w:eastAsia="zh-CN"/>
        </w:rPr>
        <w:t>2.</w:t>
      </w:r>
      <w:r>
        <w:rPr>
          <w:rFonts w:ascii="仿宋" w:hAnsi="仿宋" w:eastAsia="仿宋" w:cs="仿宋"/>
          <w:b/>
          <w:color w:val="auto"/>
          <w:sz w:val="24"/>
          <w:szCs w:val="24"/>
          <w:highlight w:val="none"/>
        </w:rPr>
        <w:t>评分标准：</w:t>
      </w:r>
      <w:r>
        <w:rPr>
          <w:rFonts w:ascii="仿宋" w:hAnsi="仿宋" w:eastAsia="仿宋" w:cs="仿宋"/>
          <w:color w:val="auto"/>
          <w:sz w:val="24"/>
          <w:szCs w:val="24"/>
          <w:highlight w:val="none"/>
        </w:rPr>
        <w:t>共100分，其中商务技术分</w:t>
      </w:r>
      <w:r>
        <w:rPr>
          <w:rFonts w:ascii="仿宋" w:hAnsi="仿宋" w:eastAsia="仿宋" w:cs="仿宋"/>
          <w:color w:val="auto"/>
          <w:sz w:val="24"/>
          <w:szCs w:val="24"/>
          <w:highlight w:val="none"/>
          <w:lang w:val="en-US" w:eastAsia="zh-CN"/>
        </w:rPr>
        <w:t>70</w:t>
      </w:r>
      <w:r>
        <w:rPr>
          <w:rFonts w:ascii="仿宋" w:hAnsi="仿宋" w:eastAsia="仿宋" w:cs="仿宋"/>
          <w:color w:val="auto"/>
          <w:sz w:val="24"/>
          <w:szCs w:val="24"/>
          <w:highlight w:val="none"/>
        </w:rPr>
        <w:t>分，价格分</w:t>
      </w:r>
      <w:r>
        <w:rPr>
          <w:rFonts w:ascii="仿宋" w:hAnsi="仿宋" w:eastAsia="仿宋" w:cs="仿宋"/>
          <w:color w:val="auto"/>
          <w:sz w:val="24"/>
          <w:szCs w:val="24"/>
          <w:highlight w:val="none"/>
          <w:lang w:val="en-US" w:eastAsia="zh-CN"/>
        </w:rPr>
        <w:t>30</w:t>
      </w:r>
      <w:r>
        <w:rPr>
          <w:rFonts w:ascii="仿宋" w:hAnsi="仿宋" w:eastAsia="仿宋" w:cs="仿宋"/>
          <w:color w:val="auto"/>
          <w:sz w:val="24"/>
          <w:szCs w:val="24"/>
          <w:highlight w:val="none"/>
        </w:rPr>
        <w:t>分。评分依下述所列为评标打分依据，分值如下（计算分值时，按其算术平均值保留小数2位）。</w:t>
      </w:r>
    </w:p>
    <w:p w14:paraId="26BBDEBA">
      <w:pPr>
        <w:keepNext w:val="0"/>
        <w:keepLines w:val="0"/>
        <w:pageBreakBefore w:val="0"/>
        <w:widowControl w:val="0"/>
        <w:kinsoku/>
        <w:overflowPunct/>
        <w:autoSpaceDE/>
        <w:bidi w:val="0"/>
        <w:snapToGrid/>
        <w:spacing w:line="400" w:lineRule="exact"/>
        <w:textAlignment w:val="auto"/>
        <w:rPr>
          <w:rFonts w:cs="仿宋"/>
          <w:color w:val="auto"/>
          <w:highlight w:val="none"/>
        </w:rPr>
      </w:pPr>
      <w:r>
        <w:rPr>
          <w:rFonts w:ascii="仿宋" w:hAnsi="仿宋" w:eastAsia="仿宋" w:cs="仿宋"/>
          <w:b/>
          <w:bCs/>
          <w:iCs/>
          <w:color w:val="auto"/>
          <w:sz w:val="24"/>
          <w:szCs w:val="24"/>
          <w:highlight w:val="none"/>
          <w:lang w:val="en-US" w:eastAsia="zh-CN"/>
        </w:rPr>
        <w:t>2.1</w:t>
      </w:r>
      <w:r>
        <w:rPr>
          <w:rFonts w:ascii="仿宋" w:hAnsi="仿宋" w:eastAsia="仿宋" w:cs="仿宋"/>
          <w:b/>
          <w:bCs/>
          <w:iCs/>
          <w:color w:val="auto"/>
          <w:sz w:val="24"/>
          <w:szCs w:val="24"/>
          <w:highlight w:val="none"/>
        </w:rPr>
        <w:t>商务技术分（</w:t>
      </w:r>
      <w:r>
        <w:rPr>
          <w:rFonts w:ascii="仿宋" w:hAnsi="仿宋" w:eastAsia="仿宋" w:cs="仿宋"/>
          <w:b/>
          <w:bCs/>
          <w:iCs/>
          <w:color w:val="auto"/>
          <w:sz w:val="24"/>
          <w:szCs w:val="24"/>
          <w:highlight w:val="none"/>
          <w:lang w:val="en-US" w:eastAsia="zh-CN"/>
        </w:rPr>
        <w:t>7</w:t>
      </w:r>
      <w:r>
        <w:rPr>
          <w:rFonts w:ascii="仿宋" w:hAnsi="仿宋" w:eastAsia="仿宋" w:cs="仿宋"/>
          <w:b/>
          <w:bCs/>
          <w:iCs/>
          <w:color w:val="auto"/>
          <w:sz w:val="24"/>
          <w:szCs w:val="24"/>
          <w:highlight w:val="none"/>
        </w:rPr>
        <w:t>0分）</w:t>
      </w:r>
    </w:p>
    <w:tbl>
      <w:tblPr>
        <w:tblStyle w:val="17"/>
        <w:tblW w:w="8675" w:type="dxa"/>
        <w:tblInd w:w="153" w:type="dxa"/>
        <w:tblLayout w:type="fixed"/>
        <w:tblCellMar>
          <w:top w:w="0" w:type="dxa"/>
          <w:left w:w="108" w:type="dxa"/>
          <w:bottom w:w="0" w:type="dxa"/>
          <w:right w:w="108" w:type="dxa"/>
        </w:tblCellMar>
      </w:tblPr>
      <w:tblGrid>
        <w:gridCol w:w="758"/>
        <w:gridCol w:w="1256"/>
        <w:gridCol w:w="6111"/>
        <w:gridCol w:w="550"/>
      </w:tblGrid>
      <w:tr w14:paraId="6F2E692B">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5340DCB6">
            <w:pPr>
              <w:keepNext w:val="0"/>
              <w:keepLines w:val="0"/>
              <w:suppressLineNumbers w:val="0"/>
              <w:spacing w:before="0" w:beforeAutospacing="0" w:after="0" w:afterAutospacing="0" w:line="240" w:lineRule="auto"/>
              <w:ind w:left="0" w:right="0"/>
              <w:jc w:val="center"/>
              <w:rPr>
                <w:rFonts w:hint="default" w:ascii="仿宋" w:hAnsi="仿宋" w:eastAsia="仿宋" w:cs="仿宋"/>
                <w:b/>
                <w:bCs/>
                <w:color w:val="auto"/>
                <w:sz w:val="24"/>
                <w:szCs w:val="24"/>
                <w:highlight w:val="none"/>
              </w:rPr>
            </w:pPr>
            <w:r>
              <w:rPr>
                <w:rFonts w:hint="default" w:ascii="仿宋" w:hAnsi="仿宋" w:eastAsia="仿宋" w:cs="仿宋"/>
                <w:b/>
                <w:bCs/>
                <w:color w:val="auto"/>
                <w:sz w:val="24"/>
                <w:szCs w:val="24"/>
                <w:highlight w:val="none"/>
              </w:rPr>
              <w:t>序号</w:t>
            </w:r>
          </w:p>
        </w:tc>
        <w:tc>
          <w:tcPr>
            <w:tcW w:w="1256" w:type="dxa"/>
            <w:tcBorders>
              <w:top w:val="single" w:color="000000" w:sz="4" w:space="0"/>
              <w:left w:val="single" w:color="000000" w:sz="4" w:space="0"/>
              <w:bottom w:val="single" w:color="000000" w:sz="4" w:space="0"/>
              <w:right w:val="single" w:color="000000" w:sz="4" w:space="0"/>
            </w:tcBorders>
            <w:vAlign w:val="center"/>
          </w:tcPr>
          <w:p w14:paraId="6885256B">
            <w:pPr>
              <w:keepNext w:val="0"/>
              <w:keepLines w:val="0"/>
              <w:suppressLineNumbers w:val="0"/>
              <w:spacing w:before="0" w:beforeAutospacing="0" w:after="0" w:afterAutospacing="0" w:line="240" w:lineRule="auto"/>
              <w:ind w:left="0" w:right="0"/>
              <w:jc w:val="center"/>
              <w:rPr>
                <w:rFonts w:hint="default" w:ascii="仿宋" w:hAnsi="仿宋" w:eastAsia="仿宋" w:cs="仿宋"/>
                <w:b/>
                <w:bCs/>
                <w:color w:val="auto"/>
                <w:sz w:val="24"/>
                <w:szCs w:val="24"/>
                <w:highlight w:val="none"/>
              </w:rPr>
            </w:pPr>
            <w:r>
              <w:rPr>
                <w:rFonts w:hint="default" w:ascii="仿宋" w:hAnsi="仿宋" w:eastAsia="仿宋" w:cs="仿宋"/>
                <w:b/>
                <w:bCs/>
                <w:color w:val="auto"/>
                <w:sz w:val="24"/>
                <w:szCs w:val="24"/>
                <w:highlight w:val="none"/>
              </w:rPr>
              <w:t>评</w:t>
            </w:r>
            <w:r>
              <w:rPr>
                <w:rFonts w:hint="default" w:ascii="仿宋" w:hAnsi="仿宋" w:eastAsia="仿宋" w:cs="仿宋"/>
                <w:b/>
                <w:bCs/>
                <w:color w:val="auto"/>
                <w:sz w:val="24"/>
                <w:szCs w:val="24"/>
                <w:highlight w:val="none"/>
                <w:lang w:eastAsia="zh-CN"/>
              </w:rPr>
              <w:t>审</w:t>
            </w:r>
            <w:r>
              <w:rPr>
                <w:rFonts w:hint="default" w:ascii="仿宋" w:hAnsi="仿宋" w:eastAsia="仿宋" w:cs="仿宋"/>
                <w:b/>
                <w:bCs/>
                <w:color w:val="auto"/>
                <w:sz w:val="24"/>
                <w:szCs w:val="24"/>
                <w:highlight w:val="none"/>
              </w:rPr>
              <w:t>内容</w:t>
            </w:r>
          </w:p>
        </w:tc>
        <w:tc>
          <w:tcPr>
            <w:tcW w:w="6111" w:type="dxa"/>
            <w:tcBorders>
              <w:top w:val="single" w:color="000000" w:sz="4" w:space="0"/>
              <w:left w:val="single" w:color="000000" w:sz="4" w:space="0"/>
              <w:bottom w:val="single" w:color="000000" w:sz="4" w:space="0"/>
              <w:right w:val="single" w:color="000000" w:sz="4" w:space="0"/>
            </w:tcBorders>
            <w:vAlign w:val="center"/>
          </w:tcPr>
          <w:p w14:paraId="2475E8A8">
            <w:pPr>
              <w:keepNext w:val="0"/>
              <w:keepLines w:val="0"/>
              <w:suppressLineNumbers w:val="0"/>
              <w:spacing w:before="0" w:beforeAutospacing="0" w:after="0" w:afterAutospacing="0" w:line="240" w:lineRule="auto"/>
              <w:ind w:left="0" w:right="0"/>
              <w:jc w:val="center"/>
              <w:rPr>
                <w:rFonts w:hint="default" w:ascii="仿宋" w:hAnsi="仿宋" w:eastAsia="仿宋" w:cs="仿宋"/>
                <w:b/>
                <w:bCs/>
                <w:color w:val="auto"/>
                <w:sz w:val="24"/>
                <w:szCs w:val="24"/>
                <w:highlight w:val="none"/>
                <w:lang w:eastAsia="zh-CN"/>
              </w:rPr>
            </w:pPr>
            <w:r>
              <w:rPr>
                <w:rFonts w:hint="default" w:ascii="仿宋" w:hAnsi="仿宋" w:eastAsia="仿宋" w:cs="仿宋"/>
                <w:b/>
                <w:bCs/>
                <w:color w:val="auto"/>
                <w:sz w:val="24"/>
                <w:szCs w:val="24"/>
                <w:highlight w:val="none"/>
                <w:lang w:val="en-US" w:eastAsia="zh-CN"/>
              </w:rPr>
              <w:t>评分标准说明</w:t>
            </w:r>
          </w:p>
        </w:tc>
        <w:tc>
          <w:tcPr>
            <w:tcW w:w="550" w:type="dxa"/>
            <w:tcBorders>
              <w:top w:val="single" w:color="000000" w:sz="4" w:space="0"/>
              <w:left w:val="single" w:color="000000" w:sz="4" w:space="0"/>
              <w:bottom w:val="single" w:color="000000" w:sz="4" w:space="0"/>
              <w:right w:val="single" w:color="000000" w:sz="4" w:space="0"/>
            </w:tcBorders>
            <w:vAlign w:val="center"/>
          </w:tcPr>
          <w:p w14:paraId="45F59595">
            <w:pPr>
              <w:keepNext w:val="0"/>
              <w:keepLines w:val="0"/>
              <w:suppressLineNumbers w:val="0"/>
              <w:spacing w:before="0" w:beforeAutospacing="0" w:after="0" w:afterAutospacing="0" w:line="240" w:lineRule="auto"/>
              <w:ind w:left="-103" w:right="-113" w:firstLine="0"/>
              <w:jc w:val="center"/>
              <w:rPr>
                <w:rFonts w:hint="default" w:ascii="仿宋" w:hAnsi="仿宋" w:eastAsia="仿宋" w:cs="仿宋"/>
                <w:b/>
                <w:bCs/>
                <w:color w:val="auto"/>
                <w:sz w:val="24"/>
                <w:szCs w:val="24"/>
                <w:highlight w:val="none"/>
              </w:rPr>
            </w:pPr>
            <w:r>
              <w:rPr>
                <w:rFonts w:hint="default" w:ascii="仿宋" w:hAnsi="仿宋" w:eastAsia="仿宋" w:cs="仿宋"/>
                <w:b/>
                <w:bCs/>
                <w:color w:val="auto"/>
                <w:sz w:val="24"/>
                <w:szCs w:val="24"/>
                <w:highlight w:val="none"/>
              </w:rPr>
              <w:t>分</w:t>
            </w:r>
            <w:r>
              <w:rPr>
                <w:rFonts w:hint="default" w:ascii="仿宋" w:hAnsi="仿宋" w:eastAsia="仿宋" w:cs="仿宋"/>
                <w:b/>
                <w:bCs/>
                <w:color w:val="auto"/>
                <w:sz w:val="24"/>
                <w:szCs w:val="24"/>
                <w:highlight w:val="none"/>
                <w:lang w:eastAsia="zh-CN"/>
              </w:rPr>
              <w:t>值</w:t>
            </w:r>
          </w:p>
        </w:tc>
      </w:tr>
      <w:tr w14:paraId="3F0739D4">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10B3EA9">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1</w:t>
            </w:r>
          </w:p>
        </w:tc>
        <w:tc>
          <w:tcPr>
            <w:tcW w:w="1256" w:type="dxa"/>
            <w:tcBorders>
              <w:top w:val="single" w:color="000000" w:sz="4" w:space="0"/>
              <w:left w:val="single" w:color="000000" w:sz="4" w:space="0"/>
              <w:bottom w:val="single" w:color="000000" w:sz="4" w:space="0"/>
              <w:right w:val="single" w:color="000000" w:sz="4" w:space="0"/>
            </w:tcBorders>
            <w:vAlign w:val="center"/>
          </w:tcPr>
          <w:p w14:paraId="0409A7DF">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性能及技术指标要求</w:t>
            </w:r>
          </w:p>
        </w:tc>
        <w:tc>
          <w:tcPr>
            <w:tcW w:w="6111" w:type="dxa"/>
            <w:tcBorders>
              <w:top w:val="single" w:color="000000" w:sz="4" w:space="0"/>
              <w:left w:val="single" w:color="000000" w:sz="4" w:space="0"/>
              <w:bottom w:val="single" w:color="000000" w:sz="4" w:space="0"/>
              <w:right w:val="single" w:color="000000" w:sz="4" w:space="0"/>
            </w:tcBorders>
            <w:vAlign w:val="center"/>
          </w:tcPr>
          <w:p w14:paraId="5796BC54">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Cs/>
                <w:iCs/>
                <w:color w:val="auto"/>
                <w:sz w:val="24"/>
                <w:szCs w:val="24"/>
                <w:highlight w:val="none"/>
              </w:rPr>
              <w:t>满足招标文件要求的得1</w:t>
            </w:r>
            <w:r>
              <w:rPr>
                <w:rFonts w:hint="eastAsia" w:ascii="仿宋" w:hAnsi="仿宋" w:eastAsia="仿宋" w:cs="仿宋"/>
                <w:bCs/>
                <w:iCs/>
                <w:color w:val="auto"/>
                <w:sz w:val="24"/>
                <w:szCs w:val="24"/>
                <w:highlight w:val="none"/>
                <w:lang w:val="en-US" w:eastAsia="zh-CN"/>
              </w:rPr>
              <w:t>7</w:t>
            </w:r>
            <w:r>
              <w:rPr>
                <w:rFonts w:hint="default" w:ascii="仿宋" w:hAnsi="仿宋" w:eastAsia="仿宋" w:cs="仿宋"/>
                <w:bCs/>
                <w:iCs/>
                <w:color w:val="auto"/>
                <w:sz w:val="24"/>
                <w:szCs w:val="24"/>
                <w:highlight w:val="none"/>
              </w:rPr>
              <w:t>分，</w:t>
            </w:r>
            <w:r>
              <w:rPr>
                <w:rFonts w:hint="default" w:ascii="仿宋" w:hAnsi="仿宋" w:eastAsia="仿宋" w:cs="仿宋"/>
                <w:color w:val="auto"/>
                <w:sz w:val="24"/>
                <w:szCs w:val="24"/>
                <w:highlight w:val="none"/>
              </w:rPr>
              <w:t>打▲指标负偏离每项扣2分；一般性指标出现负偏离每项扣</w:t>
            </w:r>
            <w:r>
              <w:rPr>
                <w:rFonts w:hint="eastAsia" w:ascii="仿宋" w:hAnsi="仿宋" w:eastAsia="仿宋" w:cs="仿宋"/>
                <w:color w:val="auto"/>
                <w:sz w:val="24"/>
                <w:szCs w:val="24"/>
                <w:highlight w:val="none"/>
                <w:lang w:val="en-US" w:eastAsia="zh-CN"/>
              </w:rPr>
              <w:t>0.5</w:t>
            </w:r>
            <w:r>
              <w:rPr>
                <w:rFonts w:hint="default" w:ascii="仿宋" w:hAnsi="仿宋" w:eastAsia="仿宋" w:cs="仿宋"/>
                <w:color w:val="auto"/>
                <w:sz w:val="24"/>
                <w:szCs w:val="24"/>
                <w:highlight w:val="none"/>
              </w:rPr>
              <w:t>分，扣完为止</w:t>
            </w:r>
            <w:r>
              <w:rPr>
                <w:rFonts w:hint="default" w:ascii="仿宋" w:hAnsi="仿宋" w:eastAsia="仿宋" w:cs="仿宋"/>
                <w:bCs/>
                <w:iCs/>
                <w:color w:val="auto"/>
                <w:sz w:val="24"/>
                <w:szCs w:val="24"/>
                <w:highlight w:val="none"/>
              </w:rPr>
              <w:t>。非量化类的，若是功能一样，表述方式不一样则为符合，量化类的由评委视情况讨论决定。</w:t>
            </w:r>
          </w:p>
        </w:tc>
        <w:tc>
          <w:tcPr>
            <w:tcW w:w="550" w:type="dxa"/>
            <w:tcBorders>
              <w:top w:val="single" w:color="000000" w:sz="4" w:space="0"/>
              <w:left w:val="single" w:color="000000" w:sz="4" w:space="0"/>
              <w:bottom w:val="single" w:color="000000" w:sz="4" w:space="0"/>
              <w:right w:val="single" w:color="000000" w:sz="4" w:space="0"/>
            </w:tcBorders>
            <w:vAlign w:val="center"/>
          </w:tcPr>
          <w:p w14:paraId="7E89B1CC">
            <w:pPr>
              <w:keepNext w:val="0"/>
              <w:keepLines w:val="0"/>
              <w:suppressLineNumbers w:val="0"/>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p>
        </w:tc>
      </w:tr>
      <w:tr w14:paraId="65BF5BB6">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18A9467">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2</w:t>
            </w:r>
          </w:p>
        </w:tc>
        <w:tc>
          <w:tcPr>
            <w:tcW w:w="1256" w:type="dxa"/>
            <w:tcBorders>
              <w:top w:val="single" w:color="000000" w:sz="4" w:space="0"/>
              <w:left w:val="single" w:color="000000" w:sz="4" w:space="0"/>
              <w:bottom w:val="single" w:color="000000" w:sz="4" w:space="0"/>
              <w:right w:val="single" w:color="000000" w:sz="4" w:space="0"/>
            </w:tcBorders>
            <w:vAlign w:val="center"/>
          </w:tcPr>
          <w:p w14:paraId="14F0433F">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项目理解</w:t>
            </w:r>
          </w:p>
        </w:tc>
        <w:tc>
          <w:tcPr>
            <w:tcW w:w="6111" w:type="dxa"/>
            <w:tcBorders>
              <w:top w:val="single" w:color="000000" w:sz="4" w:space="0"/>
              <w:left w:val="single" w:color="000000" w:sz="4" w:space="0"/>
              <w:bottom w:val="single" w:color="000000" w:sz="4" w:space="0"/>
              <w:right w:val="single" w:color="000000" w:sz="4" w:space="0"/>
            </w:tcBorders>
            <w:vAlign w:val="center"/>
          </w:tcPr>
          <w:p w14:paraId="54BDA886">
            <w:pPr>
              <w:keepNext w:val="0"/>
              <w:keepLines w:val="0"/>
              <w:suppressLineNumbers w:val="0"/>
              <w:spacing w:before="0" w:beforeAutospacing="0" w:after="0" w:afterAutospacing="0" w:line="360" w:lineRule="exact"/>
              <w:ind w:left="0" w:right="0" w:firstLine="0" w:firstLineChars="0"/>
              <w:rPr>
                <w:rFonts w:hint="default" w:ascii="仿宋" w:hAnsi="仿宋" w:eastAsia="仿宋" w:cs="仿宋"/>
                <w:b/>
                <w:bCs/>
                <w:color w:val="auto"/>
                <w:sz w:val="24"/>
                <w:szCs w:val="24"/>
                <w:highlight w:val="none"/>
                <w:lang w:val="en-US" w:eastAsia="zh-CN"/>
              </w:rPr>
            </w:pPr>
            <w:bookmarkStart w:id="0" w:name="_Hlk134523162"/>
            <w:r>
              <w:rPr>
                <w:rFonts w:hint="eastAsia" w:ascii="仿宋" w:hAnsi="仿宋" w:eastAsia="仿宋" w:cs="仿宋"/>
                <w:b/>
                <w:bCs/>
                <w:color w:val="auto"/>
                <w:sz w:val="24"/>
                <w:szCs w:val="24"/>
                <w:highlight w:val="none"/>
              </w:rPr>
              <w:t>根据供应商对项目整体需求的理解和分析，对医院现场情况的了解，对智慧消防建设方案的设计</w:t>
            </w:r>
            <w:r>
              <w:rPr>
                <w:rFonts w:hint="eastAsia" w:ascii="仿宋" w:hAnsi="仿宋" w:eastAsia="仿宋" w:cs="仿宋"/>
                <w:b/>
                <w:bCs/>
                <w:color w:val="auto"/>
                <w:sz w:val="24"/>
                <w:szCs w:val="24"/>
                <w:highlight w:val="none"/>
                <w:lang w:val="en-US" w:eastAsia="zh-CN"/>
              </w:rPr>
              <w:t>进行综合评议：</w:t>
            </w:r>
          </w:p>
          <w:p w14:paraId="142DFC03">
            <w:pPr>
              <w:keepNext w:val="0"/>
              <w:keepLines w:val="0"/>
              <w:numPr>
                <w:ilvl w:val="0"/>
                <w:numId w:val="7"/>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针对本院现场环境智慧消防体系建立</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0-3分</w:t>
            </w:r>
            <w:r>
              <w:rPr>
                <w:rFonts w:hint="eastAsia" w:ascii="仿宋" w:hAnsi="仿宋" w:eastAsia="仿宋" w:cs="仿宋"/>
                <w:b w:val="0"/>
                <w:bCs w:val="0"/>
                <w:color w:val="auto"/>
                <w:sz w:val="24"/>
                <w:szCs w:val="24"/>
                <w:highlight w:val="none"/>
                <w:lang w:eastAsia="zh-CN"/>
              </w:rPr>
              <w:t>）；</w:t>
            </w:r>
          </w:p>
          <w:p w14:paraId="371FCFC0">
            <w:pPr>
              <w:keepNext w:val="0"/>
              <w:keepLines w:val="0"/>
              <w:numPr>
                <w:ilvl w:val="0"/>
                <w:numId w:val="7"/>
              </w:numPr>
              <w:suppressLineNumbers w:val="0"/>
              <w:spacing w:before="0" w:beforeAutospacing="0" w:after="0" w:afterAutospacing="0" w:line="360" w:lineRule="exact"/>
              <w:ind w:left="0" w:right="0" w:firstLine="0" w:firstLineChars="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各类智慧物联设备部署、现有设施的利用</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0-3分</w:t>
            </w:r>
            <w:r>
              <w:rPr>
                <w:rFonts w:hint="eastAsia" w:ascii="仿宋" w:hAnsi="仿宋" w:eastAsia="仿宋" w:cs="仿宋"/>
                <w:b w:val="0"/>
                <w:bCs w:val="0"/>
                <w:color w:val="auto"/>
                <w:sz w:val="24"/>
                <w:szCs w:val="24"/>
                <w:highlight w:val="none"/>
                <w:lang w:eastAsia="zh-CN"/>
              </w:rPr>
              <w:t>）；</w:t>
            </w:r>
          </w:p>
          <w:p w14:paraId="767B0836">
            <w:pPr>
              <w:keepNext w:val="0"/>
              <w:keepLines w:val="0"/>
              <w:numPr>
                <w:ilvl w:val="0"/>
                <w:numId w:val="7"/>
              </w:numPr>
              <w:suppressLineNumbers w:val="0"/>
              <w:spacing w:before="0" w:beforeAutospacing="0" w:after="0" w:afterAutospacing="0" w:line="360" w:lineRule="exact"/>
              <w:ind w:left="0" w:right="0" w:firstLine="0" w:firstLineChars="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与医院消防建设的配合方案</w:t>
            </w:r>
            <w:bookmarkEnd w:id="0"/>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74D80B1E">
            <w:pPr>
              <w:keepNext w:val="0"/>
              <w:keepLines w:val="0"/>
              <w:suppressLineNumbers w:val="0"/>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8</w:t>
            </w:r>
          </w:p>
        </w:tc>
      </w:tr>
      <w:tr w14:paraId="2EAC766C">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7FAA5EF">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3</w:t>
            </w:r>
          </w:p>
        </w:tc>
        <w:tc>
          <w:tcPr>
            <w:tcW w:w="1256" w:type="dxa"/>
            <w:tcBorders>
              <w:top w:val="single" w:color="000000" w:sz="4" w:space="0"/>
              <w:left w:val="single" w:color="000000" w:sz="4" w:space="0"/>
              <w:bottom w:val="single" w:color="000000" w:sz="4" w:space="0"/>
              <w:right w:val="single" w:color="000000" w:sz="4" w:space="0"/>
            </w:tcBorders>
            <w:vAlign w:val="center"/>
          </w:tcPr>
          <w:p w14:paraId="0C4C0B82">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实施方案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5FC13B35">
            <w:pPr>
              <w:keepNext w:val="0"/>
              <w:keepLines w:val="0"/>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bookmarkStart w:id="1" w:name="_Hlk134523185"/>
            <w:r>
              <w:rPr>
                <w:rFonts w:hint="eastAsia" w:ascii="仿宋" w:hAnsi="仿宋" w:eastAsia="仿宋" w:cs="仿宋"/>
                <w:b w:val="0"/>
                <w:bCs w:val="0"/>
                <w:color w:val="auto"/>
                <w:sz w:val="24"/>
                <w:szCs w:val="24"/>
                <w:highlight w:val="none"/>
              </w:rPr>
              <w:t>根据供应商提供的实施方案</w:t>
            </w:r>
            <w:r>
              <w:rPr>
                <w:rFonts w:hint="eastAsia" w:ascii="仿宋" w:hAnsi="仿宋" w:eastAsia="仿宋" w:cs="仿宋"/>
                <w:b w:val="0"/>
                <w:bCs w:val="0"/>
                <w:color w:val="auto"/>
                <w:sz w:val="24"/>
                <w:szCs w:val="24"/>
                <w:highlight w:val="none"/>
                <w:lang w:val="en-US" w:eastAsia="zh-CN"/>
              </w:rPr>
              <w:t>进行综合评议：</w:t>
            </w:r>
          </w:p>
          <w:p w14:paraId="02502F83">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总体流程</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6683D84E">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人员配备（0-1份）；</w:t>
            </w:r>
          </w:p>
          <w:p w14:paraId="58B81612">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软硬件设备介绍</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p w14:paraId="2D28AA34">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实施方案（0-2分）；</w:t>
            </w:r>
          </w:p>
          <w:p w14:paraId="03E237F9">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实施现场管理方案</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bookmarkEnd w:id="1"/>
            <w:r>
              <w:rPr>
                <w:rFonts w:hint="eastAsia" w:ascii="仿宋" w:hAnsi="仿宋" w:eastAsia="仿宋" w:cs="仿宋"/>
                <w:b w:val="0"/>
                <w:bCs w:val="0"/>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5B5BC1B8">
            <w:pPr>
              <w:keepNext w:val="0"/>
              <w:keepLines w:val="0"/>
              <w:suppressLineNumbers w:val="0"/>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8</w:t>
            </w:r>
          </w:p>
        </w:tc>
      </w:tr>
      <w:tr w14:paraId="47F0EE21">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2DDB0CA">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4</w:t>
            </w:r>
          </w:p>
        </w:tc>
        <w:tc>
          <w:tcPr>
            <w:tcW w:w="1256" w:type="dxa"/>
            <w:tcBorders>
              <w:top w:val="single" w:color="000000" w:sz="4" w:space="0"/>
              <w:left w:val="single" w:color="000000" w:sz="4" w:space="0"/>
              <w:bottom w:val="single" w:color="000000" w:sz="4" w:space="0"/>
              <w:right w:val="single" w:color="000000" w:sz="4" w:space="0"/>
            </w:tcBorders>
            <w:vAlign w:val="center"/>
          </w:tcPr>
          <w:p w14:paraId="381DDA11">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组织方案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7BCDA578">
            <w:pPr>
              <w:keepNext w:val="0"/>
              <w:keepLines w:val="0"/>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bookmarkStart w:id="2" w:name="_Hlk134523214"/>
            <w:r>
              <w:rPr>
                <w:rFonts w:hint="eastAsia" w:ascii="仿宋" w:hAnsi="仿宋" w:eastAsia="仿宋" w:cs="仿宋"/>
                <w:b w:val="0"/>
                <w:bCs w:val="0"/>
                <w:color w:val="auto"/>
                <w:sz w:val="24"/>
                <w:szCs w:val="24"/>
                <w:highlight w:val="none"/>
              </w:rPr>
              <w:t>根据供应商提供的组织方案进行综合评议</w:t>
            </w:r>
            <w:bookmarkEnd w:id="2"/>
            <w:r>
              <w:rPr>
                <w:rFonts w:hint="eastAsia" w:ascii="仿宋" w:hAnsi="仿宋" w:eastAsia="仿宋" w:cs="仿宋"/>
                <w:b w:val="0"/>
                <w:bCs w:val="0"/>
                <w:color w:val="auto"/>
                <w:sz w:val="24"/>
                <w:szCs w:val="24"/>
                <w:highlight w:val="none"/>
                <w:lang w:eastAsia="zh-CN"/>
              </w:rPr>
              <w:t>：</w:t>
            </w:r>
          </w:p>
          <w:p w14:paraId="5D7BE1C0">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产品供货、验货、安装调试、测试、验收（</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p w14:paraId="6D1A6FF3">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组织机构（</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43B2590E">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工作时间进度表（</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2FE95F54">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工作程序和步骤（</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4A62D8C1">
            <w:pPr>
              <w:keepNext w:val="0"/>
              <w:keepLines w:val="0"/>
              <w:numPr>
                <w:ilvl w:val="0"/>
                <w:numId w:val="9"/>
              </w:numPr>
              <w:suppressLineNumbers w:val="0"/>
              <w:spacing w:before="0" w:beforeAutospacing="0" w:after="0" w:afterAutospacing="0" w:line="360" w:lineRule="exact"/>
              <w:ind w:left="0" w:right="0" w:firstLine="0" w:firstLineChars="0"/>
              <w:rPr>
                <w:rFonts w:hint="default" w:ascii="仿宋" w:hAnsi="仿宋" w:eastAsia="仿宋" w:cs="仿宋"/>
                <w:bCs/>
                <w:iCs/>
                <w:color w:val="auto"/>
                <w:sz w:val="24"/>
                <w:szCs w:val="24"/>
                <w:highlight w:val="none"/>
              </w:rPr>
            </w:pPr>
            <w:r>
              <w:rPr>
                <w:rFonts w:hint="eastAsia" w:ascii="仿宋" w:hAnsi="仿宋" w:eastAsia="仿宋" w:cs="仿宋"/>
                <w:b w:val="0"/>
                <w:bCs w:val="0"/>
                <w:color w:val="auto"/>
                <w:sz w:val="24"/>
                <w:szCs w:val="24"/>
                <w:highlight w:val="none"/>
                <w:lang w:eastAsia="zh-CN"/>
              </w:rPr>
              <w:t>管理和协调方法（</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31277AAC">
            <w:pPr>
              <w:keepNext w:val="0"/>
              <w:keepLines w:val="0"/>
              <w:numPr>
                <w:ilvl w:val="0"/>
                <w:numId w:val="9"/>
              </w:numPr>
              <w:suppressLineNumbers w:val="0"/>
              <w:spacing w:before="0" w:beforeAutospacing="0" w:after="0" w:afterAutospacing="0" w:line="360" w:lineRule="exact"/>
              <w:ind w:left="0" w:right="0" w:firstLine="0" w:firstLineChars="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eastAsia="zh-CN"/>
              </w:rPr>
              <w:t>关键步骤的思路和要点（</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4E4549FF">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8</w:t>
            </w:r>
          </w:p>
        </w:tc>
      </w:tr>
      <w:tr w14:paraId="04EC9B2E">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10639BC">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5</w:t>
            </w:r>
          </w:p>
        </w:tc>
        <w:tc>
          <w:tcPr>
            <w:tcW w:w="1256" w:type="dxa"/>
            <w:tcBorders>
              <w:top w:val="single" w:color="000000" w:sz="4" w:space="0"/>
              <w:left w:val="single" w:color="000000" w:sz="4" w:space="0"/>
              <w:bottom w:val="single" w:color="000000" w:sz="4" w:space="0"/>
              <w:right w:val="single" w:color="000000" w:sz="4" w:space="0"/>
            </w:tcBorders>
            <w:vAlign w:val="center"/>
          </w:tcPr>
          <w:p w14:paraId="61DA5180">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质量保证方案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7AFAB5FA">
            <w:pPr>
              <w:keepNext w:val="0"/>
              <w:keepLines w:val="0"/>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bookmarkStart w:id="3" w:name="_Hlk134523230"/>
            <w:r>
              <w:rPr>
                <w:rFonts w:hint="eastAsia" w:ascii="仿宋" w:hAnsi="仿宋" w:eastAsia="仿宋" w:cs="仿宋"/>
                <w:b w:val="0"/>
                <w:bCs w:val="0"/>
                <w:color w:val="auto"/>
                <w:sz w:val="24"/>
                <w:szCs w:val="24"/>
                <w:highlight w:val="none"/>
              </w:rPr>
              <w:t>根据质量保证方案内容进行综合评议</w:t>
            </w:r>
            <w:r>
              <w:rPr>
                <w:rFonts w:hint="eastAsia" w:ascii="仿宋" w:hAnsi="仿宋" w:eastAsia="仿宋" w:cs="仿宋"/>
                <w:b w:val="0"/>
                <w:bCs w:val="0"/>
                <w:color w:val="auto"/>
                <w:sz w:val="24"/>
                <w:szCs w:val="24"/>
                <w:highlight w:val="none"/>
                <w:lang w:eastAsia="zh-CN"/>
              </w:rPr>
              <w:t>：</w:t>
            </w:r>
          </w:p>
          <w:p w14:paraId="74E47E14">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项目组织机构</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p w14:paraId="1D87217C">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质量</w:t>
            </w:r>
            <w:r>
              <w:rPr>
                <w:rFonts w:hint="eastAsia" w:ascii="仿宋" w:hAnsi="仿宋" w:eastAsia="仿宋" w:cs="仿宋"/>
                <w:b w:val="0"/>
                <w:bCs w:val="0"/>
                <w:color w:val="auto"/>
                <w:sz w:val="24"/>
                <w:szCs w:val="24"/>
                <w:highlight w:val="none"/>
                <w:lang w:val="en-US" w:eastAsia="zh-CN"/>
              </w:rPr>
              <w:t>保证体系（0-2份）；</w:t>
            </w:r>
          </w:p>
          <w:p w14:paraId="2E6763F4">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质量</w:t>
            </w:r>
            <w:r>
              <w:rPr>
                <w:rFonts w:hint="eastAsia" w:ascii="仿宋" w:hAnsi="仿宋" w:eastAsia="仿宋" w:cs="仿宋"/>
                <w:b w:val="0"/>
                <w:bCs w:val="0"/>
                <w:color w:val="auto"/>
                <w:sz w:val="24"/>
                <w:szCs w:val="24"/>
                <w:highlight w:val="none"/>
              </w:rPr>
              <w:t>保证技术措施</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3CDB7D0F">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过程质量预控</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5D846EEA">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质量保证</w:t>
            </w:r>
            <w:r>
              <w:rPr>
                <w:rFonts w:hint="eastAsia" w:ascii="仿宋" w:hAnsi="仿宋" w:eastAsia="仿宋" w:cs="仿宋"/>
                <w:b w:val="0"/>
                <w:bCs w:val="0"/>
                <w:color w:val="auto"/>
                <w:sz w:val="24"/>
                <w:szCs w:val="24"/>
                <w:highlight w:val="none"/>
              </w:rPr>
              <w:t>及创优措施</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bookmarkEnd w:id="3"/>
            <w:r>
              <w:rPr>
                <w:rFonts w:hint="eastAsia" w:ascii="仿宋" w:hAnsi="仿宋" w:eastAsia="仿宋" w:cs="仿宋"/>
                <w:b w:val="0"/>
                <w:bCs w:val="0"/>
                <w:color w:val="auto"/>
                <w:sz w:val="24"/>
                <w:szCs w:val="24"/>
                <w:highlight w:val="none"/>
                <w:lang w:eastAsia="zh-CN"/>
              </w:rPr>
              <w:t>；</w:t>
            </w:r>
          </w:p>
          <w:p w14:paraId="0555A99B">
            <w:pPr>
              <w:keepNext w:val="0"/>
              <w:keepLines w:val="0"/>
              <w:numPr>
                <w:ilvl w:val="0"/>
                <w:numId w:val="10"/>
              </w:numPr>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Cs/>
                <w:iCs/>
                <w:color w:val="auto"/>
                <w:sz w:val="24"/>
                <w:szCs w:val="24"/>
                <w:highlight w:val="none"/>
              </w:rPr>
              <w:t>供应商针对项目做出的相关优惠政策及承诺</w:t>
            </w:r>
            <w:r>
              <w:rPr>
                <w:rFonts w:hint="eastAsia" w:ascii="仿宋" w:hAnsi="仿宋" w:eastAsia="仿宋" w:cs="仿宋"/>
                <w:bCs/>
                <w:iCs/>
                <w:color w:val="auto"/>
                <w:sz w:val="24"/>
                <w:szCs w:val="24"/>
                <w:highlight w:val="none"/>
                <w:lang w:eastAsia="zh-CN"/>
              </w:rPr>
              <w:t>（</w:t>
            </w:r>
            <w:r>
              <w:rPr>
                <w:rFonts w:hint="eastAsia" w:ascii="仿宋" w:hAnsi="仿宋" w:eastAsia="仿宋" w:cs="仿宋"/>
                <w:bCs/>
                <w:iCs/>
                <w:color w:val="auto"/>
                <w:sz w:val="24"/>
                <w:szCs w:val="24"/>
                <w:highlight w:val="none"/>
                <w:lang w:val="en-US" w:eastAsia="zh-CN"/>
              </w:rPr>
              <w:t>0-1分</w:t>
            </w:r>
            <w:r>
              <w:rPr>
                <w:rFonts w:hint="eastAsia" w:ascii="仿宋" w:hAnsi="仿宋" w:eastAsia="仿宋" w:cs="仿宋"/>
                <w:bCs/>
                <w:iCs/>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28DDB396">
            <w:pPr>
              <w:keepNext w:val="0"/>
              <w:keepLines w:val="0"/>
              <w:suppressLineNumbers w:val="0"/>
              <w:spacing w:before="0" w:beforeAutospacing="0" w:after="0" w:afterAutospacing="0" w:line="440" w:lineRule="exact"/>
              <w:ind w:left="0" w:right="0"/>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w:t>
            </w:r>
          </w:p>
        </w:tc>
      </w:tr>
      <w:tr w14:paraId="44AC84E9">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AC54BF4">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6</w:t>
            </w:r>
          </w:p>
        </w:tc>
        <w:tc>
          <w:tcPr>
            <w:tcW w:w="1256" w:type="dxa"/>
            <w:tcBorders>
              <w:top w:val="single" w:color="000000" w:sz="4" w:space="0"/>
              <w:left w:val="single" w:color="000000" w:sz="4" w:space="0"/>
              <w:bottom w:val="single" w:color="000000" w:sz="4" w:space="0"/>
              <w:right w:val="single" w:color="000000" w:sz="4" w:space="0"/>
            </w:tcBorders>
            <w:vAlign w:val="center"/>
          </w:tcPr>
          <w:p w14:paraId="10054E93">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rPr>
              <w:t>售后服务方案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4A334773">
            <w:pPr>
              <w:keepNext w:val="0"/>
              <w:keepLines w:val="0"/>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val="en-US" w:eastAsia="zh-CN"/>
              </w:rPr>
            </w:pPr>
            <w:bookmarkStart w:id="4" w:name="_Hlk134523247"/>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根据售后服务的具体内容和措施</w:t>
            </w:r>
            <w:r>
              <w:rPr>
                <w:rFonts w:hint="eastAsia" w:ascii="仿宋" w:hAnsi="仿宋" w:eastAsia="仿宋" w:cs="仿宋"/>
                <w:b w:val="0"/>
                <w:bCs w:val="0"/>
                <w:color w:val="auto"/>
                <w:sz w:val="24"/>
                <w:szCs w:val="24"/>
                <w:highlight w:val="none"/>
                <w:lang w:val="en-US" w:eastAsia="zh-CN"/>
              </w:rPr>
              <w:t>进行综合评议：</w:t>
            </w:r>
          </w:p>
          <w:p w14:paraId="68A9C31D">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质保期内的售后服务</w:t>
            </w:r>
            <w:r>
              <w:rPr>
                <w:rFonts w:hint="eastAsia" w:ascii="仿宋" w:hAnsi="仿宋" w:eastAsia="仿宋" w:cs="仿宋"/>
                <w:b w:val="0"/>
                <w:bCs w:val="0"/>
                <w:color w:val="auto"/>
                <w:sz w:val="24"/>
                <w:szCs w:val="24"/>
                <w:highlight w:val="none"/>
                <w:lang w:val="en-US" w:eastAsia="zh-CN"/>
              </w:rPr>
              <w:t>内容</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5EA0B180">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对用户故障的响应</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处理、定期巡检等情况</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230F3C95">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质保期满后的售后服务维保方案</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bookmarkEnd w:id="4"/>
            <w:r>
              <w:rPr>
                <w:rFonts w:hint="eastAsia" w:ascii="仿宋" w:hAnsi="仿宋" w:eastAsia="仿宋" w:cs="仿宋"/>
                <w:b w:val="0"/>
                <w:bCs w:val="0"/>
                <w:color w:val="auto"/>
                <w:sz w:val="24"/>
                <w:szCs w:val="24"/>
                <w:highlight w:val="none"/>
                <w:lang w:val="en-US" w:eastAsia="zh-CN"/>
              </w:rPr>
              <w:t>；</w:t>
            </w:r>
          </w:p>
          <w:p w14:paraId="2950F7FC">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rPr>
            </w:pPr>
            <w:r>
              <w:rPr>
                <w:rFonts w:hint="default" w:ascii="仿宋" w:hAnsi="仿宋" w:eastAsia="仿宋" w:cs="仿宋"/>
                <w:bCs/>
                <w:iCs/>
                <w:color w:val="auto"/>
                <w:sz w:val="24"/>
                <w:szCs w:val="24"/>
                <w:highlight w:val="none"/>
              </w:rPr>
              <w:t>售后维护机构和人员配备</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p>
          <w:p w14:paraId="25CEB3C5">
            <w:pPr>
              <w:keepNext w:val="0"/>
              <w:keepLines w:val="0"/>
              <w:numPr>
                <w:ilvl w:val="0"/>
                <w:numId w:val="11"/>
              </w:numPr>
              <w:suppressLineNumbers w:val="0"/>
              <w:snapToGrid w:val="0"/>
              <w:spacing w:before="0" w:beforeAutospacing="0" w:after="0" w:afterAutospacing="0" w:line="440" w:lineRule="exact"/>
              <w:ind w:left="0" w:right="0"/>
              <w:rPr>
                <w:rFonts w:hint="eastAsia"/>
                <w:color w:val="auto"/>
                <w:highlight w:val="none"/>
              </w:rPr>
            </w:pPr>
            <w:r>
              <w:rPr>
                <w:rFonts w:hint="default" w:ascii="仿宋" w:hAnsi="仿宋" w:eastAsia="仿宋" w:cs="仿宋"/>
                <w:bCs/>
                <w:iCs/>
                <w:color w:val="auto"/>
                <w:sz w:val="24"/>
                <w:szCs w:val="24"/>
                <w:highlight w:val="none"/>
              </w:rPr>
              <w:t>技术培训及技术服务</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p>
          <w:p w14:paraId="34AE2886">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rPr>
              <w:t>2、服务设备发生故障或有不正常运行现象，接到通知后1小时内响应，一般问题原则上6小时内解决，复杂问题8小时内解决，24小时内无法解决的，提供备品备件，保证系统正常运行，同时将故障配件送厂维修，保证在3个工作日内维修完成</w:t>
            </w:r>
            <w:r>
              <w:rPr>
                <w:rFonts w:hint="default" w:ascii="仿宋" w:hAnsi="仿宋" w:eastAsia="仿宋" w:cs="仿宋"/>
                <w:bCs/>
                <w:iCs/>
                <w:color w:val="auto"/>
                <w:sz w:val="24"/>
                <w:szCs w:val="24"/>
                <w:highlight w:val="none"/>
                <w:lang w:eastAsia="zh-CN"/>
              </w:rPr>
              <w:t>，</w:t>
            </w:r>
            <w:r>
              <w:rPr>
                <w:rFonts w:hint="default" w:ascii="仿宋" w:hAnsi="仿宋" w:eastAsia="仿宋" w:cs="仿宋"/>
                <w:b/>
                <w:bCs w:val="0"/>
                <w:iCs/>
                <w:color w:val="auto"/>
                <w:sz w:val="24"/>
                <w:szCs w:val="24"/>
                <w:highlight w:val="none"/>
                <w:lang w:eastAsia="zh-CN"/>
              </w:rPr>
              <w:t>提供承诺函</w:t>
            </w:r>
            <w:r>
              <w:rPr>
                <w:rFonts w:hint="default" w:ascii="仿宋" w:hAnsi="仿宋" w:eastAsia="仿宋" w:cs="仿宋"/>
                <w:bCs/>
                <w:iCs/>
                <w:color w:val="auto"/>
                <w:sz w:val="24"/>
                <w:szCs w:val="24"/>
                <w:highlight w:val="none"/>
              </w:rPr>
              <w:t>。（0-2分）</w:t>
            </w:r>
          </w:p>
          <w:p w14:paraId="7F3CFEDF">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Cs/>
                <w:iCs/>
                <w:color w:val="auto"/>
                <w:sz w:val="24"/>
                <w:szCs w:val="24"/>
                <w:highlight w:val="none"/>
              </w:rPr>
              <w:t>3、供应商应提供正常保养（</w:t>
            </w:r>
            <w:r>
              <w:rPr>
                <w:rFonts w:hint="default" w:ascii="仿宋" w:hAnsi="仿宋" w:eastAsia="仿宋" w:cs="仿宋"/>
                <w:bCs/>
                <w:iCs/>
                <w:color w:val="auto"/>
                <w:sz w:val="24"/>
                <w:szCs w:val="24"/>
                <w:highlight w:val="none"/>
                <w:lang w:val="en-US" w:eastAsia="zh-CN"/>
              </w:rPr>
              <w:t>3</w:t>
            </w:r>
            <w:r>
              <w:rPr>
                <w:rFonts w:hint="default" w:ascii="仿宋" w:hAnsi="仿宋" w:eastAsia="仿宋" w:cs="仿宋"/>
                <w:bCs/>
                <w:iCs/>
                <w:color w:val="auto"/>
                <w:sz w:val="24"/>
                <w:szCs w:val="24"/>
                <w:highlight w:val="none"/>
              </w:rPr>
              <w:t>年）。承诺延长一年得2分，</w:t>
            </w:r>
            <w:r>
              <w:rPr>
                <w:rFonts w:hint="default" w:ascii="仿宋" w:hAnsi="仿宋" w:eastAsia="仿宋" w:cs="仿宋"/>
                <w:b/>
                <w:bCs w:val="0"/>
                <w:iCs/>
                <w:color w:val="auto"/>
                <w:sz w:val="24"/>
                <w:szCs w:val="24"/>
                <w:highlight w:val="none"/>
                <w:lang w:val="en-US" w:eastAsia="zh-CN"/>
              </w:rPr>
              <w:t>提供承诺函</w:t>
            </w:r>
            <w:r>
              <w:rPr>
                <w:rFonts w:hint="default" w:ascii="仿宋" w:hAnsi="仿宋" w:eastAsia="仿宋" w:cs="仿宋"/>
                <w:bCs/>
                <w:iCs/>
                <w:color w:val="auto"/>
                <w:sz w:val="24"/>
                <w:szCs w:val="24"/>
                <w:highlight w:val="none"/>
                <w:lang w:val="en-US" w:eastAsia="zh-CN"/>
              </w:rPr>
              <w:t>。</w:t>
            </w:r>
            <w:r>
              <w:rPr>
                <w:rFonts w:hint="default" w:ascii="仿宋" w:hAnsi="仿宋" w:eastAsia="仿宋" w:cs="仿宋"/>
                <w:bCs/>
                <w:iCs/>
                <w:color w:val="auto"/>
                <w:sz w:val="24"/>
                <w:szCs w:val="24"/>
                <w:highlight w:val="none"/>
              </w:rPr>
              <w:t>（0-</w:t>
            </w: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分）</w:t>
            </w:r>
          </w:p>
        </w:tc>
        <w:tc>
          <w:tcPr>
            <w:tcW w:w="550" w:type="dxa"/>
            <w:tcBorders>
              <w:top w:val="single" w:color="000000" w:sz="4" w:space="0"/>
              <w:left w:val="single" w:color="000000" w:sz="4" w:space="0"/>
              <w:bottom w:val="single" w:color="000000" w:sz="4" w:space="0"/>
              <w:right w:val="single" w:color="000000" w:sz="4" w:space="0"/>
            </w:tcBorders>
            <w:vAlign w:val="center"/>
          </w:tcPr>
          <w:p w14:paraId="06AA6BAD">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9</w:t>
            </w:r>
          </w:p>
        </w:tc>
      </w:tr>
      <w:tr w14:paraId="268296CA">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0E3B0A15">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7</w:t>
            </w:r>
          </w:p>
        </w:tc>
        <w:tc>
          <w:tcPr>
            <w:tcW w:w="1256" w:type="dxa"/>
            <w:tcBorders>
              <w:top w:val="single" w:color="000000" w:sz="4" w:space="0"/>
              <w:left w:val="single" w:color="000000" w:sz="4" w:space="0"/>
              <w:bottom w:val="single" w:color="000000" w:sz="4" w:space="0"/>
              <w:right w:val="single" w:color="000000" w:sz="4" w:space="0"/>
            </w:tcBorders>
            <w:vAlign w:val="center"/>
          </w:tcPr>
          <w:p w14:paraId="2966ED13">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rPr>
              <w:t>对接能力</w:t>
            </w:r>
          </w:p>
        </w:tc>
        <w:tc>
          <w:tcPr>
            <w:tcW w:w="6111" w:type="dxa"/>
            <w:tcBorders>
              <w:top w:val="single" w:color="000000" w:sz="4" w:space="0"/>
              <w:left w:val="single" w:color="000000" w:sz="4" w:space="0"/>
              <w:bottom w:val="single" w:color="000000" w:sz="4" w:space="0"/>
              <w:right w:val="single" w:color="000000" w:sz="4" w:space="0"/>
            </w:tcBorders>
            <w:vAlign w:val="center"/>
          </w:tcPr>
          <w:p w14:paraId="458EE484">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能</w:t>
            </w:r>
            <w:r>
              <w:rPr>
                <w:rFonts w:hint="eastAsia" w:ascii="仿宋" w:hAnsi="仿宋" w:eastAsia="仿宋" w:cs="仿宋"/>
                <w:b w:val="0"/>
                <w:bCs w:val="0"/>
                <w:color w:val="auto"/>
                <w:sz w:val="24"/>
                <w:szCs w:val="24"/>
                <w:highlight w:val="none"/>
              </w:rPr>
              <w:t>与</w:t>
            </w:r>
            <w:r>
              <w:rPr>
                <w:rFonts w:hint="eastAsia" w:ascii="仿宋" w:hAnsi="仿宋" w:eastAsia="仿宋" w:cs="仿宋"/>
                <w:b w:val="0"/>
                <w:bCs w:val="0"/>
                <w:color w:val="auto"/>
                <w:sz w:val="24"/>
                <w:szCs w:val="24"/>
                <w:highlight w:val="none"/>
                <w:lang w:val="en-US" w:eastAsia="zh-CN"/>
              </w:rPr>
              <w:t>浙江省</w:t>
            </w:r>
            <w:r>
              <w:rPr>
                <w:rFonts w:hint="eastAsia" w:ascii="仿宋" w:hAnsi="仿宋" w:eastAsia="仿宋" w:cs="仿宋"/>
                <w:b w:val="0"/>
                <w:bCs w:val="0"/>
                <w:color w:val="auto"/>
                <w:sz w:val="24"/>
                <w:szCs w:val="24"/>
                <w:highlight w:val="none"/>
              </w:rPr>
              <w:t>消防救援总队消防物联平台、</w:t>
            </w:r>
            <w:r>
              <w:rPr>
                <w:rFonts w:hint="eastAsia" w:ascii="仿宋" w:hAnsi="仿宋" w:eastAsia="仿宋" w:cs="仿宋"/>
                <w:b w:val="0"/>
                <w:bCs w:val="0"/>
                <w:color w:val="auto"/>
                <w:sz w:val="24"/>
                <w:szCs w:val="24"/>
                <w:highlight w:val="none"/>
                <w:lang w:val="en-US" w:eastAsia="zh-CN"/>
              </w:rPr>
              <w:t>绍兴市消防救援支队城市消防远程监控平台对接</w:t>
            </w:r>
            <w:r>
              <w:rPr>
                <w:rFonts w:hint="default" w:ascii="仿宋" w:hAnsi="仿宋" w:eastAsia="仿宋" w:cs="仿宋"/>
                <w:bCs/>
                <w:iCs/>
                <w:color w:val="auto"/>
                <w:sz w:val="24"/>
                <w:szCs w:val="24"/>
                <w:highlight w:val="none"/>
                <w:lang w:eastAsia="zh-CN"/>
              </w:rPr>
              <w:t>，</w:t>
            </w:r>
            <w:r>
              <w:rPr>
                <w:rFonts w:hint="default" w:ascii="仿宋" w:hAnsi="仿宋" w:eastAsia="仿宋" w:cs="仿宋"/>
                <w:bCs/>
                <w:iCs/>
                <w:color w:val="auto"/>
                <w:sz w:val="24"/>
                <w:szCs w:val="24"/>
                <w:highlight w:val="none"/>
              </w:rPr>
              <w:t>得</w:t>
            </w:r>
            <w:r>
              <w:rPr>
                <w:rFonts w:hint="eastAsia"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分（提供相关平台运营单位接入证明文件）</w:t>
            </w:r>
            <w:r>
              <w:rPr>
                <w:rFonts w:hint="default" w:ascii="仿宋" w:hAnsi="仿宋" w:eastAsia="仿宋" w:cs="仿宋"/>
                <w:bCs/>
                <w:iCs/>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39D83CCF">
            <w:pPr>
              <w:keepNext w:val="0"/>
              <w:keepLines w:val="0"/>
              <w:suppressLineNumbers w:val="0"/>
              <w:tabs>
                <w:tab w:val="center" w:pos="387"/>
                <w:tab w:val="left" w:pos="596"/>
              </w:tabs>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eastAsia" w:ascii="仿宋" w:hAnsi="仿宋" w:eastAsia="仿宋" w:cs="仿宋"/>
                <w:color w:val="auto"/>
                <w:sz w:val="24"/>
                <w:szCs w:val="24"/>
                <w:highlight w:val="none"/>
                <w:lang w:val="en-US" w:eastAsia="zh-CN"/>
              </w:rPr>
              <w:t>2</w:t>
            </w:r>
          </w:p>
        </w:tc>
      </w:tr>
      <w:tr w14:paraId="5B05E4D9">
        <w:tblPrEx>
          <w:tblCellMar>
            <w:top w:w="0" w:type="dxa"/>
            <w:left w:w="108" w:type="dxa"/>
            <w:bottom w:w="0" w:type="dxa"/>
            <w:right w:w="108" w:type="dxa"/>
          </w:tblCellMar>
        </w:tblPrEx>
        <w:trPr>
          <w:trHeight w:val="70" w:hRule="atLeast"/>
        </w:trPr>
        <w:tc>
          <w:tcPr>
            <w:tcW w:w="758" w:type="dxa"/>
            <w:vMerge w:val="restart"/>
            <w:tcBorders>
              <w:top w:val="single" w:color="000000" w:sz="4" w:space="0"/>
              <w:left w:val="single" w:color="000000" w:sz="4" w:space="0"/>
              <w:bottom w:val="single" w:color="000000" w:sz="4" w:space="0"/>
              <w:right w:val="single" w:color="000000" w:sz="4" w:space="0"/>
            </w:tcBorders>
            <w:vAlign w:val="center"/>
          </w:tcPr>
          <w:p w14:paraId="093BCE22">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8</w:t>
            </w:r>
          </w:p>
        </w:tc>
        <w:tc>
          <w:tcPr>
            <w:tcW w:w="1256" w:type="dxa"/>
            <w:vMerge w:val="restart"/>
            <w:tcBorders>
              <w:top w:val="single" w:color="000000" w:sz="4" w:space="0"/>
              <w:left w:val="single" w:color="000000" w:sz="4" w:space="0"/>
              <w:bottom w:val="single" w:color="000000" w:sz="4" w:space="0"/>
              <w:right w:val="single" w:color="000000" w:sz="4" w:space="0"/>
            </w:tcBorders>
            <w:vAlign w:val="center"/>
          </w:tcPr>
          <w:p w14:paraId="5E7B7344">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资信</w:t>
            </w:r>
          </w:p>
        </w:tc>
        <w:tc>
          <w:tcPr>
            <w:tcW w:w="6111" w:type="dxa"/>
            <w:tcBorders>
              <w:top w:val="single" w:color="000000" w:sz="4" w:space="0"/>
              <w:left w:val="single" w:color="000000" w:sz="4" w:space="0"/>
              <w:bottom w:val="single" w:color="000000" w:sz="4" w:space="0"/>
              <w:right w:val="single" w:color="000000" w:sz="4" w:space="0"/>
            </w:tcBorders>
            <w:vAlign w:val="center"/>
          </w:tcPr>
          <w:p w14:paraId="2F36C7EC">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lang w:val="en-US" w:eastAsia="zh-CN"/>
              </w:rPr>
              <w:t>1</w:t>
            </w:r>
            <w:r>
              <w:rPr>
                <w:rFonts w:hint="default" w:ascii="仿宋" w:hAnsi="仿宋" w:eastAsia="仿宋" w:cs="仿宋"/>
                <w:bCs/>
                <w:iCs/>
                <w:color w:val="auto"/>
                <w:sz w:val="24"/>
                <w:szCs w:val="24"/>
                <w:highlight w:val="none"/>
              </w:rPr>
              <w:t>、拟派项目团队人员（除项目负责人外）中每具备一名一级注册消防工程师的得0.5分，最多得2分。</w:t>
            </w:r>
          </w:p>
          <w:p w14:paraId="629A000B">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、项目负责人：拟投入本项目的项目负责人</w:t>
            </w:r>
            <w:r>
              <w:rPr>
                <w:rFonts w:hint="default" w:ascii="仿宋" w:hAnsi="仿宋" w:eastAsia="仿宋" w:cs="仿宋"/>
                <w:bCs/>
                <w:iCs/>
                <w:color w:val="auto"/>
                <w:sz w:val="24"/>
                <w:szCs w:val="24"/>
                <w:highlight w:val="none"/>
                <w:lang w:eastAsia="zh-CN"/>
              </w:rPr>
              <w:t>具备</w:t>
            </w:r>
            <w:r>
              <w:rPr>
                <w:rFonts w:hint="default" w:ascii="仿宋" w:hAnsi="仿宋" w:eastAsia="仿宋" w:cs="仿宋"/>
                <w:bCs/>
                <w:iCs/>
                <w:color w:val="auto"/>
                <w:sz w:val="24"/>
                <w:szCs w:val="24"/>
                <w:highlight w:val="none"/>
              </w:rPr>
              <w:t>信息系统集成服务项目经理证书</w:t>
            </w:r>
            <w:r>
              <w:rPr>
                <w:rFonts w:hint="default" w:ascii="仿宋" w:hAnsi="仿宋" w:eastAsia="仿宋" w:cs="仿宋"/>
                <w:bCs/>
                <w:iCs/>
                <w:color w:val="auto"/>
                <w:sz w:val="24"/>
                <w:szCs w:val="24"/>
                <w:highlight w:val="none"/>
                <w:lang w:eastAsia="zh-CN"/>
              </w:rPr>
              <w:t>的</w:t>
            </w:r>
            <w:r>
              <w:rPr>
                <w:rFonts w:hint="default" w:ascii="仿宋" w:hAnsi="仿宋" w:eastAsia="仿宋" w:cs="仿宋"/>
                <w:bCs/>
                <w:iCs/>
                <w:color w:val="auto"/>
                <w:sz w:val="24"/>
                <w:szCs w:val="24"/>
                <w:highlight w:val="none"/>
              </w:rPr>
              <w:t>得</w:t>
            </w: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分。</w:t>
            </w:r>
          </w:p>
          <w:p w14:paraId="65B4E2C4">
            <w:pPr>
              <w:keepNext w:val="0"/>
              <w:keepLines w:val="0"/>
              <w:suppressLineNumbers w:val="0"/>
              <w:spacing w:before="0" w:beforeAutospacing="0" w:after="0" w:afterAutospacing="0"/>
              <w:ind w:left="0" w:right="0"/>
              <w:jc w:val="left"/>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
                <w:bCs/>
                <w:color w:val="auto"/>
                <w:sz w:val="24"/>
                <w:szCs w:val="24"/>
                <w:highlight w:val="none"/>
              </w:rPr>
              <w:t>（提供以上证书扫描件并加盖供应商公章，及供应商为上述人员社保缴纳证明材料复印件并加盖公章，未提供此项不得分。）</w:t>
            </w:r>
          </w:p>
        </w:tc>
        <w:tc>
          <w:tcPr>
            <w:tcW w:w="550" w:type="dxa"/>
            <w:tcBorders>
              <w:top w:val="single" w:color="000000" w:sz="4" w:space="0"/>
              <w:left w:val="single" w:color="000000" w:sz="4" w:space="0"/>
              <w:bottom w:val="single" w:color="000000" w:sz="4" w:space="0"/>
              <w:right w:val="single" w:color="000000" w:sz="4" w:space="0"/>
            </w:tcBorders>
            <w:vAlign w:val="center"/>
          </w:tcPr>
          <w:p w14:paraId="0996B1AD">
            <w:pPr>
              <w:keepNext w:val="0"/>
              <w:keepLines w:val="0"/>
              <w:suppressLineNumbers w:val="0"/>
              <w:spacing w:before="0" w:beforeAutospacing="0" w:after="0" w:afterAutospacing="0" w:line="36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4</w:t>
            </w:r>
          </w:p>
        </w:tc>
      </w:tr>
      <w:tr w14:paraId="0E65D6CD">
        <w:tblPrEx>
          <w:tblCellMar>
            <w:top w:w="0" w:type="dxa"/>
            <w:left w:w="108" w:type="dxa"/>
            <w:bottom w:w="0" w:type="dxa"/>
            <w:right w:w="108" w:type="dxa"/>
          </w:tblCellMar>
        </w:tblPrEx>
        <w:trPr>
          <w:trHeight w:val="70" w:hRule="atLeast"/>
        </w:trPr>
        <w:tc>
          <w:tcPr>
            <w:tcW w:w="758" w:type="dxa"/>
            <w:vMerge w:val="continue"/>
            <w:tcBorders>
              <w:top w:val="single" w:color="000000" w:sz="4" w:space="0"/>
              <w:left w:val="single" w:color="000000" w:sz="4" w:space="0"/>
              <w:bottom w:val="single" w:color="000000" w:sz="4" w:space="0"/>
              <w:right w:val="single" w:color="000000" w:sz="4" w:space="0"/>
            </w:tcBorders>
            <w:vAlign w:val="center"/>
          </w:tcPr>
          <w:p w14:paraId="12AE2A97">
            <w:pPr>
              <w:keepNext w:val="0"/>
              <w:keepLines w:val="0"/>
              <w:suppressLineNumbers w:val="0"/>
              <w:snapToGrid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p>
        </w:tc>
        <w:tc>
          <w:tcPr>
            <w:tcW w:w="1256" w:type="dxa"/>
            <w:vMerge w:val="continue"/>
            <w:tcBorders>
              <w:top w:val="single" w:color="000000" w:sz="4" w:space="0"/>
              <w:left w:val="single" w:color="000000" w:sz="4" w:space="0"/>
              <w:bottom w:val="single" w:color="000000" w:sz="4" w:space="0"/>
              <w:right w:val="single" w:color="000000" w:sz="4" w:space="0"/>
            </w:tcBorders>
            <w:vAlign w:val="center"/>
          </w:tcPr>
          <w:p w14:paraId="3F10094A">
            <w:pPr>
              <w:keepNext w:val="0"/>
              <w:keepLines w:val="0"/>
              <w:suppressLineNumbers w:val="0"/>
              <w:snapToGrid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p>
        </w:tc>
        <w:tc>
          <w:tcPr>
            <w:tcW w:w="6111" w:type="dxa"/>
            <w:tcBorders>
              <w:top w:val="single" w:color="000000" w:sz="4" w:space="0"/>
              <w:left w:val="single" w:color="000000" w:sz="4" w:space="0"/>
              <w:bottom w:val="single" w:color="000000" w:sz="4" w:space="0"/>
              <w:right w:val="single" w:color="000000" w:sz="4" w:space="0"/>
            </w:tcBorders>
            <w:vAlign w:val="center"/>
          </w:tcPr>
          <w:p w14:paraId="456F2BFD">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rPr>
              <w:t>供应商具有消防设施工程专业承包二级资质的得1分，一级资质的得2分，电子与智能化二级及以上资质得1分，最高得3分，其余不得分。</w:t>
            </w:r>
          </w:p>
          <w:p w14:paraId="31466E37">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
                <w:bCs/>
                <w:color w:val="auto"/>
                <w:sz w:val="24"/>
                <w:szCs w:val="24"/>
                <w:highlight w:val="none"/>
              </w:rPr>
              <w:t>（提供以上证书扫描件并加盖供应商公章。）</w:t>
            </w:r>
          </w:p>
        </w:tc>
        <w:tc>
          <w:tcPr>
            <w:tcW w:w="550" w:type="dxa"/>
            <w:tcBorders>
              <w:top w:val="single" w:color="000000" w:sz="4" w:space="0"/>
              <w:left w:val="single" w:color="000000" w:sz="4" w:space="0"/>
              <w:bottom w:val="single" w:color="000000" w:sz="4" w:space="0"/>
              <w:right w:val="single" w:color="000000" w:sz="4" w:space="0"/>
            </w:tcBorders>
            <w:vAlign w:val="center"/>
          </w:tcPr>
          <w:p w14:paraId="5202F5DA">
            <w:pPr>
              <w:keepNext w:val="0"/>
              <w:keepLines w:val="0"/>
              <w:suppressLineNumbers w:val="0"/>
              <w:spacing w:before="0" w:beforeAutospacing="0" w:after="0" w:afterAutospacing="0" w:line="36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3</w:t>
            </w:r>
          </w:p>
        </w:tc>
      </w:tr>
      <w:tr w14:paraId="534C163F">
        <w:tblPrEx>
          <w:tblCellMar>
            <w:top w:w="0" w:type="dxa"/>
            <w:left w:w="108" w:type="dxa"/>
            <w:bottom w:w="0" w:type="dxa"/>
            <w:right w:w="108" w:type="dxa"/>
          </w:tblCellMar>
        </w:tblPrEx>
        <w:trPr>
          <w:trHeight w:val="70" w:hRule="atLeast"/>
        </w:trPr>
        <w:tc>
          <w:tcPr>
            <w:tcW w:w="758" w:type="dxa"/>
            <w:vMerge w:val="continue"/>
            <w:tcBorders>
              <w:top w:val="single" w:color="000000" w:sz="4" w:space="0"/>
              <w:left w:val="single" w:color="000000" w:sz="4" w:space="0"/>
              <w:bottom w:val="single" w:color="000000" w:sz="4" w:space="0"/>
              <w:right w:val="single" w:color="000000" w:sz="4" w:space="0"/>
            </w:tcBorders>
            <w:vAlign w:val="center"/>
          </w:tcPr>
          <w:p w14:paraId="5E3042BF">
            <w:pPr>
              <w:keepNext w:val="0"/>
              <w:keepLines w:val="0"/>
              <w:suppressLineNumbers w:val="0"/>
              <w:snapToGrid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p>
        </w:tc>
        <w:tc>
          <w:tcPr>
            <w:tcW w:w="1256" w:type="dxa"/>
            <w:vMerge w:val="continue"/>
            <w:tcBorders>
              <w:top w:val="single" w:color="000000" w:sz="4" w:space="0"/>
              <w:left w:val="single" w:color="000000" w:sz="4" w:space="0"/>
              <w:bottom w:val="single" w:color="000000" w:sz="4" w:space="0"/>
              <w:right w:val="single" w:color="000000" w:sz="4" w:space="0"/>
            </w:tcBorders>
            <w:vAlign w:val="center"/>
          </w:tcPr>
          <w:p w14:paraId="14F45266">
            <w:pPr>
              <w:keepNext w:val="0"/>
              <w:keepLines w:val="0"/>
              <w:suppressLineNumbers w:val="0"/>
              <w:snapToGrid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rPr>
            </w:pPr>
          </w:p>
        </w:tc>
        <w:tc>
          <w:tcPr>
            <w:tcW w:w="6111" w:type="dxa"/>
            <w:tcBorders>
              <w:top w:val="single" w:color="000000" w:sz="4" w:space="0"/>
              <w:left w:val="single" w:color="000000" w:sz="4" w:space="0"/>
              <w:bottom w:val="single" w:color="000000" w:sz="4" w:space="0"/>
              <w:right w:val="single" w:color="000000" w:sz="4" w:space="0"/>
            </w:tcBorders>
            <w:vAlign w:val="center"/>
          </w:tcPr>
          <w:p w14:paraId="6547F2F3">
            <w:pPr>
              <w:keepNext w:val="0"/>
              <w:keepLines w:val="0"/>
              <w:suppressLineNumbers w:val="0"/>
              <w:snapToGrid w:val="0"/>
              <w:spacing w:before="0" w:beforeAutospacing="0" w:after="0" w:afterAutospacing="0" w:line="440" w:lineRule="exact"/>
              <w:ind w:left="0" w:right="0"/>
              <w:rPr>
                <w:rFonts w:hint="default" w:ascii="仿宋" w:hAnsi="仿宋" w:eastAsia="仿宋" w:cs="仿宋"/>
                <w:b/>
                <w:bCs w:val="0"/>
                <w:iCs/>
                <w:color w:val="auto"/>
                <w:sz w:val="24"/>
                <w:szCs w:val="24"/>
                <w:highlight w:val="none"/>
                <w:lang w:eastAsia="zh-CN"/>
              </w:rPr>
            </w:pPr>
            <w:r>
              <w:rPr>
                <w:rFonts w:hint="default" w:ascii="仿宋" w:hAnsi="仿宋" w:eastAsia="仿宋" w:cs="仿宋"/>
                <w:bCs/>
                <w:iCs/>
                <w:color w:val="auto"/>
                <w:sz w:val="24"/>
                <w:szCs w:val="24"/>
                <w:highlight w:val="none"/>
              </w:rPr>
              <w:t>供应商自202</w:t>
            </w: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年</w:t>
            </w:r>
            <w:r>
              <w:rPr>
                <w:rFonts w:hint="default" w:ascii="仿宋" w:hAnsi="仿宋" w:eastAsia="仿宋" w:cs="仿宋"/>
                <w:bCs/>
                <w:iCs/>
                <w:color w:val="auto"/>
                <w:sz w:val="24"/>
                <w:szCs w:val="24"/>
                <w:highlight w:val="none"/>
                <w:lang w:val="en-US" w:eastAsia="zh-CN"/>
              </w:rPr>
              <w:t>7</w:t>
            </w:r>
            <w:r>
              <w:rPr>
                <w:rFonts w:hint="default" w:ascii="仿宋" w:hAnsi="仿宋" w:eastAsia="仿宋" w:cs="仿宋"/>
                <w:bCs/>
                <w:iCs/>
                <w:color w:val="auto"/>
                <w:sz w:val="24"/>
                <w:szCs w:val="24"/>
                <w:highlight w:val="none"/>
              </w:rPr>
              <w:t>月1日</w:t>
            </w:r>
            <w:r>
              <w:rPr>
                <w:rFonts w:hint="default" w:ascii="仿宋" w:hAnsi="仿宋" w:eastAsia="仿宋" w:cs="仿宋"/>
                <w:bCs/>
                <w:iCs/>
                <w:color w:val="auto"/>
                <w:sz w:val="24"/>
                <w:szCs w:val="24"/>
                <w:highlight w:val="none"/>
                <w:lang w:eastAsia="zh-CN"/>
              </w:rPr>
              <w:t>（以合同签订时间为准）</w:t>
            </w:r>
            <w:r>
              <w:rPr>
                <w:rFonts w:hint="default" w:ascii="仿宋" w:hAnsi="仿宋" w:eastAsia="仿宋" w:cs="仿宋"/>
                <w:bCs/>
                <w:iCs/>
                <w:color w:val="auto"/>
                <w:sz w:val="24"/>
                <w:szCs w:val="24"/>
                <w:highlight w:val="none"/>
              </w:rPr>
              <w:t>以来具有同类业绩的每个得1分，最高得</w:t>
            </w:r>
            <w:r>
              <w:rPr>
                <w:rFonts w:hint="default" w:ascii="仿宋" w:hAnsi="仿宋" w:eastAsia="仿宋" w:cs="仿宋"/>
                <w:bCs/>
                <w:iCs/>
                <w:color w:val="auto"/>
                <w:sz w:val="24"/>
                <w:szCs w:val="24"/>
                <w:highlight w:val="none"/>
                <w:lang w:val="en-US" w:eastAsia="zh-CN"/>
              </w:rPr>
              <w:t>3</w:t>
            </w:r>
            <w:r>
              <w:rPr>
                <w:rFonts w:hint="default" w:ascii="仿宋" w:hAnsi="仿宋" w:eastAsia="仿宋" w:cs="仿宋"/>
                <w:bCs/>
                <w:iCs/>
                <w:color w:val="auto"/>
                <w:sz w:val="24"/>
                <w:szCs w:val="24"/>
                <w:highlight w:val="none"/>
              </w:rPr>
              <w:t>分,</w:t>
            </w:r>
            <w:r>
              <w:rPr>
                <w:rFonts w:hint="default" w:ascii="仿宋" w:hAnsi="仿宋" w:eastAsia="仿宋" w:cs="仿宋"/>
                <w:bCs/>
                <w:iCs/>
                <w:color w:val="auto"/>
                <w:sz w:val="24"/>
                <w:szCs w:val="24"/>
                <w:highlight w:val="none"/>
                <w:lang w:val="en-US" w:eastAsia="zh-CN"/>
              </w:rPr>
              <w:t>同一单位只计一次分。</w:t>
            </w:r>
          </w:p>
          <w:p w14:paraId="0776CDF1">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
                <w:bCs w:val="0"/>
                <w:iCs/>
                <w:color w:val="auto"/>
                <w:sz w:val="24"/>
                <w:szCs w:val="24"/>
                <w:highlight w:val="none"/>
                <w:lang w:eastAsia="zh-CN"/>
              </w:rPr>
              <w:t>（</w:t>
            </w:r>
            <w:r>
              <w:rPr>
                <w:rFonts w:hint="default" w:ascii="仿宋" w:hAnsi="仿宋" w:eastAsia="仿宋" w:cs="仿宋"/>
                <w:b/>
                <w:bCs w:val="0"/>
                <w:iCs/>
                <w:color w:val="auto"/>
                <w:sz w:val="24"/>
                <w:szCs w:val="24"/>
                <w:highlight w:val="none"/>
              </w:rPr>
              <w:t>提供合同扫描件或中标通知书并加盖供应商公章</w:t>
            </w:r>
            <w:r>
              <w:rPr>
                <w:rFonts w:hint="default" w:ascii="仿宋" w:hAnsi="仿宋" w:eastAsia="仿宋" w:cs="仿宋"/>
                <w:b/>
                <w:bCs w:val="0"/>
                <w:iCs/>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357A8D96">
            <w:pPr>
              <w:keepNext w:val="0"/>
              <w:keepLines w:val="0"/>
              <w:suppressLineNumbers w:val="0"/>
              <w:spacing w:before="0" w:beforeAutospacing="0" w:after="0" w:afterAutospacing="0" w:line="36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3</w:t>
            </w:r>
          </w:p>
        </w:tc>
      </w:tr>
    </w:tbl>
    <w:p w14:paraId="380AD17E">
      <w:pPr>
        <w:keepNext w:val="0"/>
        <w:keepLines w:val="0"/>
        <w:pageBreakBefore w:val="0"/>
        <w:widowControl w:val="0"/>
        <w:kinsoku/>
        <w:overflowPunct/>
        <w:autoSpaceDE/>
        <w:bidi w:val="0"/>
        <w:snapToGrid/>
        <w:spacing w:line="400" w:lineRule="exact"/>
        <w:textAlignment w:val="auto"/>
        <w:rPr>
          <w:rFonts w:ascii="仿宋" w:hAnsi="仿宋" w:eastAsia="仿宋" w:cs="仿宋"/>
          <w:b/>
          <w:bCs/>
          <w:iCs/>
          <w:color w:val="auto"/>
          <w:sz w:val="24"/>
          <w:szCs w:val="24"/>
          <w:highlight w:val="none"/>
          <w:lang w:val="en-US" w:eastAsia="zh-CN"/>
        </w:rPr>
      </w:pPr>
      <w:r>
        <w:rPr>
          <w:rFonts w:ascii="仿宋" w:hAnsi="仿宋" w:eastAsia="仿宋" w:cs="仿宋"/>
          <w:color w:val="auto"/>
          <w:sz w:val="24"/>
          <w:szCs w:val="24"/>
          <w:highlight w:val="none"/>
          <w:lang w:eastAsia="zh-CN"/>
        </w:rPr>
        <w:t>投标人编制投标文件（商务技术文件部分）时，建议按此目录（序号和内容）提供评标标准相应的商务技术资料。</w:t>
      </w:r>
    </w:p>
    <w:p w14:paraId="40E0B82A">
      <w:pPr>
        <w:keepNext w:val="0"/>
        <w:keepLines w:val="0"/>
        <w:pageBreakBefore w:val="0"/>
        <w:widowControl w:val="0"/>
        <w:kinsoku/>
        <w:overflowPunct/>
        <w:autoSpaceDE/>
        <w:bidi w:val="0"/>
        <w:snapToGrid/>
        <w:spacing w:line="440" w:lineRule="exact"/>
        <w:jc w:val="both"/>
        <w:textAlignment w:val="auto"/>
        <w:rPr>
          <w:rFonts w:ascii="仿宋" w:hAnsi="仿宋" w:eastAsia="仿宋" w:cs="仿宋"/>
          <w:b/>
          <w:bCs/>
          <w:color w:val="auto"/>
          <w:sz w:val="24"/>
          <w:szCs w:val="24"/>
          <w:highlight w:val="none"/>
          <w:lang w:eastAsia="zh-CN"/>
        </w:rPr>
      </w:pPr>
      <w:r>
        <w:rPr>
          <w:rFonts w:ascii="仿宋" w:hAnsi="仿宋" w:eastAsia="仿宋" w:cs="仿宋"/>
          <w:b/>
          <w:bCs/>
          <w:color w:val="auto"/>
          <w:sz w:val="24"/>
          <w:szCs w:val="24"/>
          <w:highlight w:val="none"/>
          <w:lang w:eastAsia="zh-CN"/>
        </w:rPr>
        <w:t>注：</w:t>
      </w:r>
      <w:r>
        <w:rPr>
          <w:rFonts w:ascii="仿宋" w:hAnsi="仿宋" w:eastAsia="仿宋" w:cs="仿宋"/>
          <w:b/>
          <w:bCs/>
          <w:color w:val="auto"/>
          <w:sz w:val="24"/>
          <w:szCs w:val="24"/>
          <w:highlight w:val="none"/>
          <w:lang w:val="en-US" w:eastAsia="zh-CN"/>
        </w:rPr>
        <w:t>1、</w:t>
      </w:r>
      <w:r>
        <w:rPr>
          <w:rFonts w:ascii="仿宋" w:hAnsi="仿宋" w:eastAsia="仿宋" w:cs="仿宋"/>
          <w:b/>
          <w:bCs/>
          <w:color w:val="auto"/>
          <w:sz w:val="24"/>
          <w:szCs w:val="24"/>
          <w:highlight w:val="none"/>
          <w:lang w:eastAsia="zh-CN"/>
        </w:rPr>
        <w:t>所有证书都应在有效期内，逾期不得分。</w:t>
      </w:r>
    </w:p>
    <w:p w14:paraId="0DC082E8">
      <w:pPr>
        <w:spacing w:line="440" w:lineRule="exact"/>
        <w:ind w:firstLine="482"/>
        <w:rPr>
          <w:rFonts w:ascii="仿宋" w:hAnsi="仿宋" w:eastAsia="仿宋" w:cs="仿宋"/>
          <w:b/>
          <w:bCs/>
          <w:iCs/>
          <w:color w:val="auto"/>
          <w:sz w:val="24"/>
          <w:highlight w:val="none"/>
        </w:rPr>
      </w:pPr>
      <w:r>
        <w:rPr>
          <w:rFonts w:ascii="仿宋" w:hAnsi="仿宋" w:eastAsia="仿宋" w:cs="仿宋"/>
          <w:b/>
          <w:bCs/>
          <w:iCs/>
          <w:color w:val="auto"/>
          <w:sz w:val="24"/>
          <w:highlight w:val="none"/>
          <w:lang w:val="en-US" w:eastAsia="zh-CN"/>
        </w:rPr>
        <w:t>2、</w:t>
      </w:r>
      <w:r>
        <w:rPr>
          <w:rFonts w:ascii="仿宋" w:hAnsi="仿宋" w:eastAsia="仿宋" w:cs="仿宋"/>
          <w:b/>
          <w:bCs/>
          <w:iCs/>
          <w:color w:val="auto"/>
          <w:sz w:val="24"/>
          <w:highlight w:val="none"/>
        </w:rPr>
        <w:t>对省级以上主管部门认定的首台套产品，自纳入《省推广应用指导目录》起三年内参加政府采购活动，视同已具备相应销售业绩，业绩分为满分。</w:t>
      </w:r>
    </w:p>
    <w:p w14:paraId="53FDB66A">
      <w:pPr>
        <w:keepNext w:val="0"/>
        <w:keepLines w:val="0"/>
        <w:pageBreakBefore w:val="0"/>
        <w:widowControl w:val="0"/>
        <w:kinsoku/>
        <w:overflowPunct/>
        <w:autoSpaceDE/>
        <w:bidi w:val="0"/>
        <w:snapToGrid/>
        <w:spacing w:line="400" w:lineRule="exact"/>
        <w:textAlignment w:val="auto"/>
        <w:rPr>
          <w:rFonts w:ascii="仿宋" w:hAnsi="仿宋" w:eastAsia="仿宋" w:cs="仿宋"/>
          <w:b/>
          <w:bCs/>
          <w:iCs/>
          <w:color w:val="auto"/>
          <w:sz w:val="24"/>
          <w:szCs w:val="24"/>
          <w:highlight w:val="none"/>
        </w:rPr>
      </w:pPr>
      <w:r>
        <w:rPr>
          <w:rFonts w:ascii="仿宋" w:hAnsi="仿宋" w:eastAsia="仿宋" w:cs="仿宋"/>
          <w:b/>
          <w:bCs/>
          <w:iCs/>
          <w:color w:val="auto"/>
          <w:sz w:val="24"/>
          <w:szCs w:val="24"/>
          <w:highlight w:val="none"/>
          <w:lang w:val="en-US" w:eastAsia="zh-CN"/>
        </w:rPr>
        <w:t>2.</w:t>
      </w:r>
      <w:r>
        <w:rPr>
          <w:rFonts w:ascii="仿宋" w:hAnsi="仿宋" w:eastAsia="仿宋" w:cs="仿宋"/>
          <w:b/>
          <w:bCs/>
          <w:iCs/>
          <w:color w:val="auto"/>
          <w:sz w:val="24"/>
          <w:szCs w:val="24"/>
          <w:highlight w:val="none"/>
        </w:rPr>
        <w:t>2价格分（</w:t>
      </w:r>
      <w:r>
        <w:rPr>
          <w:rFonts w:ascii="仿宋" w:hAnsi="仿宋" w:eastAsia="仿宋" w:cs="仿宋"/>
          <w:b/>
          <w:bCs/>
          <w:iCs/>
          <w:color w:val="auto"/>
          <w:sz w:val="24"/>
          <w:szCs w:val="24"/>
          <w:highlight w:val="none"/>
          <w:lang w:val="en-US" w:eastAsia="zh-CN"/>
        </w:rPr>
        <w:t>3</w:t>
      </w:r>
      <w:r>
        <w:rPr>
          <w:rFonts w:ascii="仿宋" w:hAnsi="仿宋" w:eastAsia="仿宋" w:cs="仿宋"/>
          <w:b/>
          <w:bCs/>
          <w:iCs/>
          <w:color w:val="auto"/>
          <w:sz w:val="24"/>
          <w:szCs w:val="24"/>
          <w:highlight w:val="none"/>
        </w:rPr>
        <w:t>0分）</w:t>
      </w:r>
    </w:p>
    <w:p w14:paraId="4D66A198">
      <w:pPr>
        <w:keepNext w:val="0"/>
        <w:keepLines w:val="0"/>
        <w:pageBreakBefore w:val="0"/>
        <w:widowControl w:val="0"/>
        <w:kinsoku/>
        <w:overflowPunct/>
        <w:autoSpaceDE/>
        <w:bidi w:val="0"/>
        <w:snapToGrid/>
        <w:spacing w:line="400" w:lineRule="exact"/>
        <w:textAlignment w:val="auto"/>
        <w:rPr>
          <w:rFonts w:ascii="仿宋" w:hAnsi="仿宋" w:eastAsia="仿宋" w:cs="仿宋"/>
          <w:bCs/>
          <w:iCs/>
          <w:color w:val="auto"/>
          <w:sz w:val="24"/>
          <w:szCs w:val="24"/>
          <w:highlight w:val="none"/>
        </w:rPr>
      </w:pPr>
      <w:r>
        <w:rPr>
          <w:rFonts w:ascii="仿宋" w:hAnsi="仿宋" w:eastAsia="仿宋" w:cs="仿宋"/>
          <w:bCs/>
          <w:iCs/>
          <w:color w:val="auto"/>
          <w:sz w:val="24"/>
          <w:szCs w:val="24"/>
          <w:highlight w:val="none"/>
          <w:lang w:val="en-US" w:eastAsia="zh-CN"/>
        </w:rPr>
        <w:t>2.2</w:t>
      </w:r>
      <w:r>
        <w:rPr>
          <w:rFonts w:ascii="仿宋" w:hAnsi="仿宋" w:eastAsia="仿宋" w:cs="仿宋"/>
          <w:bCs/>
          <w:iCs/>
          <w:color w:val="auto"/>
          <w:sz w:val="24"/>
          <w:szCs w:val="24"/>
          <w:highlight w:val="none"/>
        </w:rPr>
        <w:t>.1评标基准价：即满足招标文件要求且投标价格最低的投标报价为评标基准价，其价格分为满分。</w:t>
      </w:r>
    </w:p>
    <w:p w14:paraId="3046B018">
      <w:pPr>
        <w:keepNext w:val="0"/>
        <w:keepLines w:val="0"/>
        <w:pageBreakBefore w:val="0"/>
        <w:widowControl w:val="0"/>
        <w:kinsoku/>
        <w:overflowPunct/>
        <w:autoSpaceDE/>
        <w:bidi w:val="0"/>
        <w:snapToGrid/>
        <w:spacing w:line="400" w:lineRule="exact"/>
        <w:textAlignment w:val="auto"/>
        <w:rPr>
          <w:rFonts w:ascii="仿宋" w:hAnsi="仿宋" w:eastAsia="仿宋" w:cs="仿宋"/>
          <w:bCs/>
          <w:iCs/>
          <w:color w:val="auto"/>
          <w:sz w:val="24"/>
          <w:szCs w:val="24"/>
          <w:highlight w:val="none"/>
        </w:rPr>
      </w:pPr>
      <w:r>
        <w:rPr>
          <w:rFonts w:ascii="仿宋" w:hAnsi="仿宋" w:eastAsia="仿宋" w:cs="仿宋"/>
          <w:bCs/>
          <w:iCs/>
          <w:color w:val="auto"/>
          <w:sz w:val="24"/>
          <w:szCs w:val="24"/>
          <w:highlight w:val="none"/>
          <w:lang w:val="en-US" w:eastAsia="zh-CN"/>
        </w:rPr>
        <w:t>2.2</w:t>
      </w:r>
      <w:r>
        <w:rPr>
          <w:rFonts w:ascii="仿宋" w:hAnsi="仿宋" w:eastAsia="仿宋" w:cs="仿宋"/>
          <w:bCs/>
          <w:iCs/>
          <w:color w:val="auto"/>
          <w:sz w:val="24"/>
          <w:szCs w:val="24"/>
          <w:highlight w:val="none"/>
        </w:rPr>
        <w:t>.2其他投标人的价格分统一按照下列公式计算(保留小数2位)：</w:t>
      </w:r>
    </w:p>
    <w:p w14:paraId="4808266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bidi w:val="0"/>
        <w:snapToGrid/>
        <w:spacing w:line="400" w:lineRule="exact"/>
        <w:textAlignment w:val="auto"/>
        <w:rPr>
          <w:rFonts w:ascii="仿宋" w:hAnsi="仿宋" w:eastAsia="仿宋" w:cs="仿宋"/>
          <w:bCs/>
          <w:iCs/>
          <w:color w:val="auto"/>
          <w:sz w:val="24"/>
          <w:szCs w:val="24"/>
          <w:highlight w:val="none"/>
        </w:rPr>
      </w:pPr>
      <w:r>
        <w:rPr>
          <w:rFonts w:ascii="仿宋" w:hAnsi="仿宋" w:eastAsia="仿宋" w:cs="仿宋"/>
          <w:bCs/>
          <w:iCs/>
          <w:color w:val="auto"/>
          <w:sz w:val="24"/>
          <w:szCs w:val="24"/>
          <w:highlight w:val="none"/>
        </w:rPr>
        <w:t>投标报价得分=(评标基准价／投标报价)×价格权值×100</w:t>
      </w:r>
    </w:p>
    <w:p w14:paraId="0553A524">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bidi w:val="0"/>
        <w:snapToGrid/>
        <w:spacing w:line="400" w:lineRule="exact"/>
        <w:textAlignment w:val="auto"/>
        <w:rPr>
          <w:rFonts w:ascii="仿宋" w:hAnsi="仿宋" w:eastAsia="仿宋" w:cs="仿宋"/>
          <w:color w:val="auto"/>
          <w:sz w:val="24"/>
          <w:szCs w:val="24"/>
          <w:highlight w:val="none"/>
        </w:rPr>
      </w:pPr>
      <w:r>
        <w:rPr>
          <w:rFonts w:ascii="仿宋" w:hAnsi="仿宋" w:eastAsia="仿宋" w:cs="仿宋"/>
          <w:bCs/>
          <w:iCs/>
          <w:color w:val="auto"/>
          <w:sz w:val="24"/>
          <w:szCs w:val="24"/>
          <w:highlight w:val="none"/>
        </w:rPr>
        <w:t>即：投标报价得分=(评标基准价／投标报价)×</w:t>
      </w:r>
      <w:r>
        <w:rPr>
          <w:rFonts w:ascii="仿宋" w:hAnsi="仿宋" w:eastAsia="仿宋" w:cs="仿宋"/>
          <w:bCs/>
          <w:iCs/>
          <w:color w:val="auto"/>
          <w:sz w:val="24"/>
          <w:szCs w:val="24"/>
          <w:highlight w:val="none"/>
          <w:lang w:val="en-US" w:eastAsia="zh-CN"/>
        </w:rPr>
        <w:t>30</w:t>
      </w:r>
    </w:p>
    <w:p w14:paraId="0E2D846F">
      <w:pPr>
        <w:pStyle w:val="66"/>
        <w:rPr>
          <w:rFonts w:ascii="仿宋" w:hAnsi="仿宋" w:eastAsia="仿宋" w:cs="仿宋"/>
          <w:color w:val="auto"/>
          <w:sz w:val="24"/>
          <w:szCs w:val="24"/>
          <w:highlight w:val="none"/>
        </w:rPr>
      </w:pPr>
      <w:r>
        <w:rPr>
          <w:color w:val="auto"/>
          <w:highlight w:val="none"/>
        </w:rPr>
        <w:br w:type="page"/>
      </w:r>
    </w:p>
    <w:p w14:paraId="1F9F5309">
      <w:pPr>
        <w:spacing w:line="440" w:lineRule="exact"/>
        <w:jc w:val="center"/>
        <w:rPr>
          <w:rFonts w:ascii="仿宋" w:hAnsi="仿宋" w:eastAsia="仿宋" w:cs="仿宋"/>
          <w:b/>
          <w:color w:val="auto"/>
          <w:sz w:val="36"/>
          <w:szCs w:val="20"/>
          <w:highlight w:val="none"/>
        </w:rPr>
      </w:pPr>
      <w:r>
        <w:rPr>
          <w:rFonts w:ascii="仿宋" w:hAnsi="仿宋" w:eastAsia="仿宋" w:cs="仿宋"/>
          <w:b/>
          <w:color w:val="auto"/>
          <w:sz w:val="36"/>
          <w:szCs w:val="20"/>
          <w:highlight w:val="none"/>
        </w:rPr>
        <w:t xml:space="preserve">第六部分 </w:t>
      </w:r>
      <w:r>
        <w:rPr>
          <w:rFonts w:ascii="仿宋" w:hAnsi="仿宋" w:eastAsia="仿宋" w:cs="仿宋"/>
          <w:b/>
          <w:color w:val="auto"/>
          <w:sz w:val="36"/>
          <w:szCs w:val="36"/>
          <w:highlight w:val="none"/>
        </w:rPr>
        <w:t>投标文件</w:t>
      </w:r>
      <w:r>
        <w:rPr>
          <w:rFonts w:ascii="仿宋" w:hAnsi="仿宋" w:eastAsia="仿宋" w:cs="仿宋"/>
          <w:b/>
          <w:color w:val="auto"/>
          <w:sz w:val="36"/>
          <w:szCs w:val="20"/>
          <w:highlight w:val="none"/>
        </w:rPr>
        <w:t>应提交的有关格式范例</w:t>
      </w:r>
    </w:p>
    <w:p w14:paraId="02C2B765">
      <w:pPr>
        <w:numPr>
          <w:ilvl w:val="0"/>
          <w:numId w:val="0"/>
        </w:numPr>
        <w:spacing w:line="288" w:lineRule="auto"/>
        <w:ind w:firstLine="480"/>
        <w:outlineLvl w:val="0"/>
        <w:rPr>
          <w:rFonts w:ascii="仿宋" w:hAnsi="仿宋" w:eastAsia="仿宋" w:cs="仿宋"/>
          <w:color w:val="auto"/>
          <w:sz w:val="24"/>
          <w:highlight w:val="none"/>
        </w:rPr>
      </w:pPr>
      <w:r>
        <w:rPr>
          <w:rFonts w:ascii="仿宋" w:hAnsi="仿宋" w:eastAsia="仿宋" w:cs="仿宋"/>
          <w:color w:val="auto"/>
          <w:sz w:val="24"/>
          <w:highlight w:val="none"/>
        </w:rPr>
        <w:t>投标人按照以下格式编制投标文件，并将报价文件资料、商务技术文件资料分别装订成册。</w:t>
      </w:r>
    </w:p>
    <w:p w14:paraId="5D182F63">
      <w:pPr>
        <w:numPr>
          <w:ilvl w:val="0"/>
          <w:numId w:val="0"/>
        </w:numPr>
        <w:spacing w:line="288" w:lineRule="auto"/>
        <w:ind w:firstLine="480"/>
        <w:outlineLvl w:val="0"/>
        <w:rPr>
          <w:rFonts w:ascii="仿宋" w:hAnsi="仿宋" w:eastAsia="仿宋" w:cs="仿宋"/>
          <w:color w:val="auto"/>
          <w:sz w:val="24"/>
          <w:highlight w:val="none"/>
        </w:rPr>
      </w:pPr>
    </w:p>
    <w:p w14:paraId="45FE079F">
      <w:pPr>
        <w:numPr>
          <w:ilvl w:val="0"/>
          <w:numId w:val="0"/>
        </w:numPr>
        <w:spacing w:line="288" w:lineRule="auto"/>
        <w:ind w:firstLine="480"/>
        <w:outlineLvl w:val="0"/>
        <w:rPr>
          <w:rFonts w:ascii="仿宋" w:hAnsi="仿宋" w:eastAsia="仿宋" w:cs="仿宋"/>
          <w:color w:val="auto"/>
          <w:sz w:val="24"/>
          <w:highlight w:val="none"/>
        </w:rPr>
      </w:pPr>
    </w:p>
    <w:p w14:paraId="3915346C">
      <w:pPr>
        <w:numPr>
          <w:ilvl w:val="0"/>
          <w:numId w:val="0"/>
        </w:numPr>
        <w:spacing w:line="288" w:lineRule="auto"/>
        <w:ind w:firstLine="480"/>
        <w:outlineLvl w:val="0"/>
        <w:rPr>
          <w:rFonts w:ascii="仿宋" w:hAnsi="仿宋" w:eastAsia="仿宋" w:cs="仿宋"/>
          <w:color w:val="auto"/>
          <w:sz w:val="24"/>
          <w:highlight w:val="none"/>
        </w:rPr>
      </w:pPr>
    </w:p>
    <w:p w14:paraId="4EF6B6CA">
      <w:pPr>
        <w:numPr>
          <w:ilvl w:val="0"/>
          <w:numId w:val="0"/>
        </w:numPr>
        <w:spacing w:line="288" w:lineRule="auto"/>
        <w:ind w:firstLine="480"/>
        <w:outlineLvl w:val="0"/>
        <w:rPr>
          <w:rFonts w:ascii="仿宋" w:hAnsi="仿宋" w:eastAsia="仿宋" w:cs="仿宋"/>
          <w:color w:val="auto"/>
          <w:sz w:val="24"/>
          <w:highlight w:val="none"/>
        </w:rPr>
      </w:pPr>
    </w:p>
    <w:p w14:paraId="614C9939">
      <w:pPr>
        <w:numPr>
          <w:ilvl w:val="0"/>
          <w:numId w:val="0"/>
        </w:numPr>
        <w:spacing w:line="288" w:lineRule="auto"/>
        <w:ind w:firstLine="480"/>
        <w:outlineLvl w:val="0"/>
        <w:rPr>
          <w:rFonts w:ascii="仿宋" w:hAnsi="仿宋" w:eastAsia="仿宋" w:cs="仿宋"/>
          <w:color w:val="auto"/>
          <w:sz w:val="24"/>
          <w:highlight w:val="none"/>
        </w:rPr>
      </w:pPr>
    </w:p>
    <w:p w14:paraId="04EB89D0">
      <w:pPr>
        <w:snapToGrid w:val="0"/>
        <w:spacing w:line="288" w:lineRule="auto"/>
        <w:jc w:val="center"/>
        <w:rPr>
          <w:rFonts w:ascii="仿宋" w:hAnsi="仿宋" w:eastAsia="仿宋" w:cs="仿宋"/>
          <w:b/>
          <w:color w:val="auto"/>
          <w:kern w:val="0"/>
          <w:sz w:val="36"/>
          <w:szCs w:val="36"/>
          <w:highlight w:val="none"/>
        </w:rPr>
      </w:pPr>
      <w:r>
        <w:rPr>
          <w:rFonts w:ascii="仿宋" w:hAnsi="仿宋" w:eastAsia="仿宋" w:cs="仿宋"/>
          <w:color w:val="auto"/>
          <w:sz w:val="36"/>
          <w:szCs w:val="36"/>
          <w:highlight w:val="none"/>
          <w:lang w:val="zh-CN"/>
        </w:rPr>
        <w:t>▲</w:t>
      </w:r>
      <w:r>
        <w:rPr>
          <w:rFonts w:ascii="仿宋" w:hAnsi="仿宋" w:eastAsia="仿宋" w:cs="仿宋"/>
          <w:b/>
          <w:color w:val="auto"/>
          <w:sz w:val="36"/>
          <w:szCs w:val="36"/>
          <w:highlight w:val="none"/>
          <w:lang w:val="zh-CN"/>
        </w:rPr>
        <w:t>报价文件资料</w:t>
      </w:r>
      <w:r>
        <w:rPr>
          <w:rFonts w:ascii="仿宋" w:hAnsi="仿宋" w:eastAsia="仿宋" w:cs="仿宋"/>
          <w:b/>
          <w:color w:val="auto"/>
          <w:kern w:val="0"/>
          <w:sz w:val="36"/>
          <w:szCs w:val="36"/>
          <w:highlight w:val="none"/>
        </w:rPr>
        <w:t>部分</w:t>
      </w:r>
    </w:p>
    <w:p w14:paraId="0B116A34">
      <w:pPr>
        <w:numPr>
          <w:ilvl w:val="0"/>
          <w:numId w:val="0"/>
        </w:numPr>
        <w:spacing w:line="288" w:lineRule="auto"/>
        <w:jc w:val="center"/>
        <w:outlineLvl w:val="0"/>
        <w:rPr>
          <w:rFonts w:ascii="仿宋" w:hAnsi="仿宋" w:eastAsia="仿宋" w:cs="仿宋"/>
          <w:b/>
          <w:color w:val="auto"/>
          <w:kern w:val="0"/>
          <w:sz w:val="24"/>
          <w:szCs w:val="36"/>
          <w:highlight w:val="none"/>
        </w:rPr>
      </w:pPr>
    </w:p>
    <w:p w14:paraId="303E92EB">
      <w:pPr>
        <w:numPr>
          <w:ilvl w:val="0"/>
          <w:numId w:val="0"/>
        </w:numPr>
        <w:spacing w:line="288" w:lineRule="auto"/>
        <w:jc w:val="center"/>
        <w:outlineLvl w:val="0"/>
        <w:rPr>
          <w:rFonts w:ascii="仿宋" w:hAnsi="仿宋" w:eastAsia="仿宋" w:cs="仿宋"/>
          <w:b/>
          <w:color w:val="auto"/>
          <w:kern w:val="0"/>
          <w:sz w:val="36"/>
          <w:szCs w:val="36"/>
          <w:highlight w:val="none"/>
        </w:rPr>
      </w:pPr>
      <w:r>
        <w:rPr>
          <w:rFonts w:ascii="仿宋" w:hAnsi="仿宋" w:eastAsia="仿宋" w:cs="仿宋"/>
          <w:b/>
          <w:color w:val="auto"/>
          <w:kern w:val="0"/>
          <w:sz w:val="36"/>
          <w:szCs w:val="36"/>
          <w:highlight w:val="none"/>
        </w:rPr>
        <w:t>目录</w:t>
      </w:r>
    </w:p>
    <w:p w14:paraId="513FCD3E">
      <w:pPr>
        <w:numPr>
          <w:ilvl w:val="0"/>
          <w:numId w:val="0"/>
        </w:numPr>
        <w:spacing w:line="288" w:lineRule="auto"/>
        <w:outlineLvl w:val="0"/>
        <w:rPr>
          <w:rFonts w:ascii="仿宋" w:hAnsi="仿宋" w:eastAsia="仿宋" w:cs="仿宋"/>
          <w:color w:val="auto"/>
          <w:kern w:val="0"/>
          <w:sz w:val="24"/>
          <w:highlight w:val="none"/>
        </w:rPr>
      </w:pPr>
      <w:r>
        <w:rPr>
          <w:rFonts w:ascii="仿宋" w:hAnsi="仿宋" w:eastAsia="仿宋" w:cs="仿宋"/>
          <w:color w:val="auto"/>
          <w:kern w:val="0"/>
          <w:sz w:val="24"/>
          <w:highlight w:val="none"/>
        </w:rPr>
        <w:t>（1）投标响应函……………………………………………………（页码）</w:t>
      </w:r>
    </w:p>
    <w:p w14:paraId="71DD0497">
      <w:pPr>
        <w:numPr>
          <w:ilvl w:val="0"/>
          <w:numId w:val="0"/>
        </w:numPr>
        <w:spacing w:line="288" w:lineRule="auto"/>
        <w:outlineLvl w:val="0"/>
        <w:rPr>
          <w:rFonts w:ascii="仿宋" w:hAnsi="仿宋" w:eastAsia="仿宋" w:cs="仿宋"/>
          <w:color w:val="auto"/>
          <w:kern w:val="0"/>
          <w:sz w:val="24"/>
          <w:highlight w:val="none"/>
        </w:rPr>
      </w:pPr>
      <w:r>
        <w:rPr>
          <w:rFonts w:ascii="仿宋" w:hAnsi="仿宋" w:eastAsia="仿宋" w:cs="仿宋"/>
          <w:color w:val="auto"/>
          <w:kern w:val="0"/>
          <w:sz w:val="24"/>
          <w:highlight w:val="none"/>
        </w:rPr>
        <w:t>（2）投标（开标）一览表…………………………………………（页码）</w:t>
      </w:r>
    </w:p>
    <w:p w14:paraId="3D0D1C6C">
      <w:pPr>
        <w:spacing w:line="288" w:lineRule="auto"/>
        <w:rPr>
          <w:rFonts w:ascii="仿宋" w:hAnsi="仿宋" w:eastAsia="仿宋" w:cs="仿宋"/>
          <w:b/>
          <w:color w:val="auto"/>
          <w:kern w:val="0"/>
          <w:sz w:val="24"/>
          <w:highlight w:val="none"/>
        </w:rPr>
      </w:pPr>
    </w:p>
    <w:p w14:paraId="30793C5A">
      <w:pPr>
        <w:spacing w:line="288" w:lineRule="auto"/>
        <w:rPr>
          <w:rFonts w:ascii="仿宋" w:hAnsi="仿宋" w:eastAsia="仿宋" w:cs="仿宋"/>
          <w:b/>
          <w:color w:val="auto"/>
          <w:sz w:val="24"/>
          <w:highlight w:val="none"/>
        </w:rPr>
      </w:pPr>
    </w:p>
    <w:p w14:paraId="24F340E0">
      <w:pPr>
        <w:spacing w:line="288" w:lineRule="auto"/>
        <w:rPr>
          <w:rFonts w:ascii="仿宋" w:hAnsi="仿宋" w:eastAsia="仿宋" w:cs="仿宋"/>
          <w:b/>
          <w:color w:val="auto"/>
          <w:sz w:val="24"/>
          <w:highlight w:val="none"/>
        </w:rPr>
      </w:pPr>
    </w:p>
    <w:p w14:paraId="6DB2C480">
      <w:pPr>
        <w:spacing w:line="288" w:lineRule="auto"/>
        <w:rPr>
          <w:rFonts w:ascii="仿宋" w:hAnsi="仿宋" w:eastAsia="仿宋" w:cs="仿宋"/>
          <w:b/>
          <w:color w:val="auto"/>
          <w:sz w:val="24"/>
          <w:highlight w:val="none"/>
        </w:rPr>
      </w:pPr>
    </w:p>
    <w:p w14:paraId="2A7CE715">
      <w:pPr>
        <w:spacing w:line="288" w:lineRule="auto"/>
        <w:rPr>
          <w:rFonts w:ascii="仿宋" w:hAnsi="仿宋" w:eastAsia="仿宋" w:cs="仿宋"/>
          <w:b/>
          <w:color w:val="auto"/>
          <w:sz w:val="24"/>
          <w:highlight w:val="none"/>
        </w:rPr>
      </w:pPr>
    </w:p>
    <w:p w14:paraId="6658A7D2">
      <w:pPr>
        <w:spacing w:line="288" w:lineRule="auto"/>
        <w:rPr>
          <w:rFonts w:ascii="仿宋" w:hAnsi="仿宋" w:eastAsia="仿宋" w:cs="仿宋"/>
          <w:b/>
          <w:color w:val="auto"/>
          <w:sz w:val="24"/>
          <w:highlight w:val="none"/>
        </w:rPr>
      </w:pPr>
    </w:p>
    <w:p w14:paraId="7EE0A114">
      <w:pPr>
        <w:spacing w:line="288" w:lineRule="auto"/>
        <w:rPr>
          <w:rFonts w:ascii="仿宋" w:hAnsi="仿宋" w:eastAsia="仿宋" w:cs="仿宋"/>
          <w:b/>
          <w:color w:val="auto"/>
          <w:sz w:val="24"/>
          <w:highlight w:val="none"/>
        </w:rPr>
      </w:pPr>
    </w:p>
    <w:p w14:paraId="39D67109">
      <w:pPr>
        <w:spacing w:line="288" w:lineRule="auto"/>
        <w:rPr>
          <w:rFonts w:ascii="仿宋" w:hAnsi="仿宋" w:eastAsia="仿宋" w:cs="仿宋"/>
          <w:b/>
          <w:color w:val="auto"/>
          <w:sz w:val="24"/>
          <w:highlight w:val="none"/>
        </w:rPr>
      </w:pPr>
    </w:p>
    <w:p w14:paraId="00534998">
      <w:pPr>
        <w:spacing w:line="288" w:lineRule="auto"/>
        <w:rPr>
          <w:rFonts w:ascii="仿宋" w:hAnsi="仿宋" w:eastAsia="仿宋" w:cs="仿宋"/>
          <w:b/>
          <w:color w:val="auto"/>
          <w:sz w:val="24"/>
          <w:highlight w:val="none"/>
        </w:rPr>
      </w:pPr>
    </w:p>
    <w:p w14:paraId="04B09D50">
      <w:pPr>
        <w:spacing w:line="288" w:lineRule="auto"/>
        <w:rPr>
          <w:rFonts w:ascii="仿宋" w:hAnsi="仿宋" w:eastAsia="仿宋" w:cs="仿宋"/>
          <w:b/>
          <w:color w:val="auto"/>
          <w:sz w:val="24"/>
          <w:highlight w:val="none"/>
        </w:rPr>
      </w:pPr>
    </w:p>
    <w:p w14:paraId="36C21519">
      <w:pPr>
        <w:spacing w:line="288" w:lineRule="auto"/>
        <w:rPr>
          <w:rFonts w:ascii="仿宋" w:hAnsi="仿宋" w:eastAsia="仿宋" w:cs="仿宋"/>
          <w:b/>
          <w:color w:val="auto"/>
          <w:sz w:val="24"/>
          <w:highlight w:val="none"/>
        </w:rPr>
      </w:pPr>
    </w:p>
    <w:p w14:paraId="2883F688">
      <w:pPr>
        <w:spacing w:line="288" w:lineRule="auto"/>
        <w:rPr>
          <w:rFonts w:ascii="仿宋" w:hAnsi="仿宋" w:eastAsia="仿宋" w:cs="仿宋"/>
          <w:b/>
          <w:color w:val="auto"/>
          <w:sz w:val="24"/>
          <w:highlight w:val="none"/>
        </w:rPr>
      </w:pPr>
    </w:p>
    <w:p w14:paraId="41EE6FD2">
      <w:pPr>
        <w:spacing w:line="288" w:lineRule="auto"/>
        <w:rPr>
          <w:rFonts w:ascii="仿宋" w:hAnsi="仿宋" w:eastAsia="仿宋" w:cs="仿宋"/>
          <w:b/>
          <w:color w:val="auto"/>
          <w:sz w:val="24"/>
          <w:highlight w:val="none"/>
        </w:rPr>
      </w:pPr>
    </w:p>
    <w:p w14:paraId="3C834C7C">
      <w:pPr>
        <w:spacing w:line="288" w:lineRule="auto"/>
        <w:rPr>
          <w:rFonts w:ascii="仿宋" w:hAnsi="仿宋" w:eastAsia="仿宋" w:cs="仿宋"/>
          <w:b/>
          <w:color w:val="auto"/>
          <w:sz w:val="24"/>
          <w:highlight w:val="none"/>
        </w:rPr>
      </w:pPr>
    </w:p>
    <w:p w14:paraId="3F39917A">
      <w:pPr>
        <w:spacing w:line="288" w:lineRule="auto"/>
        <w:rPr>
          <w:rFonts w:ascii="仿宋" w:hAnsi="仿宋" w:eastAsia="仿宋" w:cs="仿宋"/>
          <w:b/>
          <w:color w:val="auto"/>
          <w:sz w:val="24"/>
          <w:highlight w:val="none"/>
        </w:rPr>
      </w:pPr>
    </w:p>
    <w:p w14:paraId="61780100">
      <w:pPr>
        <w:spacing w:line="288" w:lineRule="auto"/>
        <w:rPr>
          <w:rFonts w:ascii="仿宋" w:hAnsi="仿宋" w:eastAsia="仿宋" w:cs="仿宋"/>
          <w:b/>
          <w:color w:val="auto"/>
          <w:sz w:val="24"/>
          <w:highlight w:val="none"/>
        </w:rPr>
      </w:pPr>
    </w:p>
    <w:p w14:paraId="21FA7C2F">
      <w:pPr>
        <w:spacing w:line="288" w:lineRule="auto"/>
        <w:rPr>
          <w:rFonts w:ascii="仿宋" w:hAnsi="仿宋" w:eastAsia="仿宋" w:cs="仿宋"/>
          <w:b/>
          <w:color w:val="auto"/>
          <w:sz w:val="24"/>
          <w:highlight w:val="none"/>
        </w:rPr>
      </w:pPr>
    </w:p>
    <w:p w14:paraId="55545DEB">
      <w:pPr>
        <w:spacing w:line="288" w:lineRule="auto"/>
        <w:rPr>
          <w:rFonts w:ascii="仿宋" w:hAnsi="仿宋" w:eastAsia="仿宋" w:cs="仿宋"/>
          <w:b/>
          <w:color w:val="auto"/>
          <w:sz w:val="24"/>
          <w:highlight w:val="none"/>
        </w:rPr>
      </w:pPr>
    </w:p>
    <w:p w14:paraId="5D8FC8B9">
      <w:pPr>
        <w:spacing w:line="288" w:lineRule="auto"/>
        <w:rPr>
          <w:rFonts w:ascii="仿宋" w:hAnsi="仿宋" w:eastAsia="仿宋" w:cs="仿宋"/>
          <w:b/>
          <w:color w:val="auto"/>
          <w:sz w:val="24"/>
          <w:highlight w:val="none"/>
        </w:rPr>
      </w:pPr>
    </w:p>
    <w:p w14:paraId="51BD6C09">
      <w:pPr>
        <w:spacing w:line="288" w:lineRule="auto"/>
        <w:rPr>
          <w:rFonts w:ascii="仿宋" w:hAnsi="仿宋" w:eastAsia="仿宋" w:cs="仿宋"/>
          <w:b/>
          <w:color w:val="auto"/>
          <w:sz w:val="24"/>
          <w:highlight w:val="none"/>
        </w:rPr>
      </w:pPr>
    </w:p>
    <w:p w14:paraId="0DDFB780">
      <w:pPr>
        <w:pStyle w:val="9"/>
        <w:rPr>
          <w:rFonts w:ascii="仿宋" w:hAnsi="仿宋" w:eastAsia="仿宋" w:cs="仿宋"/>
          <w:b/>
          <w:color w:val="auto"/>
          <w:sz w:val="24"/>
          <w:highlight w:val="none"/>
        </w:rPr>
      </w:pPr>
    </w:p>
    <w:p w14:paraId="2A74B236">
      <w:pPr>
        <w:spacing w:line="288" w:lineRule="auto"/>
        <w:rPr>
          <w:rFonts w:ascii="仿宋" w:hAnsi="仿宋" w:eastAsia="仿宋" w:cs="仿宋"/>
          <w:b/>
          <w:color w:val="auto"/>
          <w:sz w:val="30"/>
          <w:szCs w:val="30"/>
          <w:highlight w:val="none"/>
        </w:rPr>
      </w:pPr>
    </w:p>
    <w:p w14:paraId="75437CBD">
      <w:pPr>
        <w:spacing w:line="288" w:lineRule="auto"/>
        <w:rPr>
          <w:rFonts w:ascii="仿宋" w:hAnsi="仿宋" w:eastAsia="仿宋" w:cs="仿宋"/>
          <w:b/>
          <w:color w:val="auto"/>
          <w:sz w:val="30"/>
          <w:szCs w:val="30"/>
          <w:highlight w:val="none"/>
        </w:rPr>
      </w:pPr>
      <w:bookmarkStart w:id="5" w:name="_GoBack"/>
      <w:bookmarkEnd w:id="5"/>
      <w:r>
        <w:rPr>
          <w:rFonts w:ascii="仿宋" w:hAnsi="仿宋" w:eastAsia="仿宋" w:cs="仿宋"/>
          <w:b/>
          <w:color w:val="auto"/>
          <w:sz w:val="30"/>
          <w:szCs w:val="30"/>
          <w:highlight w:val="none"/>
        </w:rPr>
        <w:t>1、投标函（格式）</w:t>
      </w:r>
    </w:p>
    <w:p w14:paraId="7D4EE0D4">
      <w:pPr>
        <w:pStyle w:val="84"/>
        <w:spacing w:line="288" w:lineRule="auto"/>
        <w:ind w:firstLine="0"/>
        <w:rPr>
          <w:rFonts w:ascii="仿宋" w:hAnsi="仿宋" w:eastAsia="仿宋" w:cs="仿宋"/>
          <w:color w:val="auto"/>
          <w:szCs w:val="24"/>
          <w:highlight w:val="none"/>
        </w:rPr>
      </w:pPr>
      <w:r>
        <w:rPr>
          <w:rFonts w:ascii="仿宋" w:hAnsi="仿宋" w:eastAsia="仿宋" w:cs="仿宋"/>
          <w:color w:val="auto"/>
          <w:szCs w:val="24"/>
          <w:highlight w:val="none"/>
        </w:rPr>
        <w:t>致：</w:t>
      </w:r>
    </w:p>
    <w:p w14:paraId="5DD09681">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根据贵方</w:t>
      </w:r>
      <w:r>
        <w:rPr>
          <w:rFonts w:ascii="仿宋" w:hAnsi="仿宋" w:eastAsia="仿宋" w:cs="仿宋"/>
          <w:color w:val="auto"/>
          <w:szCs w:val="24"/>
          <w:highlight w:val="none"/>
          <w:u w:val="single"/>
        </w:rPr>
        <w:t xml:space="preserve">                    项目</w:t>
      </w:r>
      <w:r>
        <w:rPr>
          <w:rFonts w:ascii="仿宋" w:hAnsi="仿宋" w:eastAsia="仿宋" w:cs="仿宋"/>
          <w:color w:val="auto"/>
          <w:szCs w:val="24"/>
          <w:highlight w:val="none"/>
        </w:rPr>
        <w:t>（编号：）招标文件的要求，正式授权下述签字人（姓名、单位、职务）代表投标人（单位、地址）提交以下文件正本一份、副本四份。</w:t>
      </w:r>
    </w:p>
    <w:p w14:paraId="3DEADBD5">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我方已完全明白招标文件的所有条款要求，兹声明同意如下：</w:t>
      </w:r>
    </w:p>
    <w:p w14:paraId="1EB26531">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1.我方同意在投标人须知规定的开标日期起遵守本投标文件中的承诺且在投标有效期满之前均具有约束力。</w:t>
      </w:r>
    </w:p>
    <w:p w14:paraId="11A5C663">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2.我方承诺已经具备下列规定的条件。</w:t>
      </w:r>
    </w:p>
    <w:p w14:paraId="22F7043A">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2.1具有独立承担民事责任的能力；</w:t>
      </w:r>
    </w:p>
    <w:p w14:paraId="585B6C8F">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2.2具有良好的商业信誉和健全的财务会计制度；</w:t>
      </w:r>
    </w:p>
    <w:p w14:paraId="3157B13B">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2.3具有履行合同所必需的设备和专业技术能力；</w:t>
      </w:r>
    </w:p>
    <w:p w14:paraId="62A46B17">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2.4有依法缴纳税收和社会保障资金的良好记录；</w:t>
      </w:r>
    </w:p>
    <w:p w14:paraId="73A91197">
      <w:pPr>
        <w:spacing w:line="288" w:lineRule="auto"/>
        <w:ind w:left="479" w:firstLine="0"/>
        <w:rPr>
          <w:rFonts w:ascii="仿宋" w:hAnsi="仿宋" w:eastAsia="仿宋" w:cs="仿宋"/>
          <w:color w:val="auto"/>
          <w:sz w:val="24"/>
          <w:highlight w:val="none"/>
        </w:rPr>
      </w:pPr>
      <w:r>
        <w:rPr>
          <w:rFonts w:ascii="仿宋" w:hAnsi="仿宋" w:eastAsia="仿宋" w:cs="仿宋"/>
          <w:color w:val="auto"/>
          <w:kern w:val="0"/>
          <w:sz w:val="24"/>
          <w:highlight w:val="none"/>
        </w:rPr>
        <w:t>2.5参加采购活动前三年内，在经营活动中没有重大违法记录；</w:t>
      </w:r>
    </w:p>
    <w:p w14:paraId="190DE7AD">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3.本公司投标文件中填列的技术参数、配置、服务、数量等相关内容都是真实、准确的。保证在本次项目中所提供的资料全部真实和合法。同意向浙江泛亚工程咨询有限公司提供可能另外要求的与投标有关的任何数据或资料。</w:t>
      </w:r>
    </w:p>
    <w:p w14:paraId="43D846F5">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4.我方理解贵方将不受你们所收到的最低报价的约束。</w:t>
      </w:r>
    </w:p>
    <w:p w14:paraId="06ECDA64">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eastAsia="zh-CN"/>
        </w:rPr>
        <w:t>本次</w:t>
      </w:r>
      <w:r>
        <w:rPr>
          <w:rFonts w:ascii="仿宋" w:hAnsi="仿宋" w:eastAsia="仿宋" w:cs="仿宋"/>
          <w:color w:val="auto"/>
          <w:sz w:val="24"/>
          <w:highlight w:val="none"/>
        </w:rPr>
        <w:t>投标自开标之日（投标截止之日）起90天内有效。</w:t>
      </w:r>
    </w:p>
    <w:p w14:paraId="26C8B0F7">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6.我方将严格遵守以下规定，供应商有下列情形之一的，处以采购金额5‰以上10‰以下的罚款，列入不良行为记录名单；有违法所得的，并处没收违法所得；情节严重的，由工商行政管理机关吊销营业执照；构成犯罪的，依法追究刑事责任：</w:t>
      </w:r>
    </w:p>
    <w:p w14:paraId="51F5701D">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a)提供虚假材料谋取中标、成交的；</w:t>
      </w:r>
    </w:p>
    <w:p w14:paraId="3540BDAF">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b)采取不正当手段诋毁、排挤其他供应商的；</w:t>
      </w:r>
    </w:p>
    <w:p w14:paraId="39565A01">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c)与采购人、其它供应商或者采购代理机构恶意串通的；</w:t>
      </w:r>
    </w:p>
    <w:p w14:paraId="387E2C9C">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d)向采购人、采购代理机构行贿或者提供其他不正当利益的；</w:t>
      </w:r>
    </w:p>
    <w:p w14:paraId="3F97C769">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e)在招标采购过程中与采购人进行协商谈判的；</w:t>
      </w:r>
    </w:p>
    <w:p w14:paraId="0F534FB6">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f)拒绝有关部门监督检查或提供虚假情况的。</w:t>
      </w:r>
    </w:p>
    <w:p w14:paraId="524CEF31">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供应商有前款第a)至e)项情形之一的，中标、成交无效。</w:t>
      </w:r>
    </w:p>
    <w:p w14:paraId="1074CC57">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地址：　　　　　　　　　　　　　　　邮政编码：</w:t>
      </w:r>
    </w:p>
    <w:p w14:paraId="6B759659">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电话：                              传真：</w:t>
      </w:r>
    </w:p>
    <w:p w14:paraId="0EBBF3EF">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开户银行：                          帐号：</w:t>
      </w:r>
    </w:p>
    <w:p w14:paraId="4B4E4151">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法定代表人或其授权代表(签字或签章)：</w:t>
      </w:r>
    </w:p>
    <w:p w14:paraId="5F31953F">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投标人(盖章)：　　　　　　　　　　　　　　　　　　　　</w:t>
      </w:r>
    </w:p>
    <w:p w14:paraId="6C001723">
      <w:pPr>
        <w:pStyle w:val="84"/>
        <w:spacing w:line="288" w:lineRule="auto"/>
        <w:ind w:firstLine="480"/>
        <w:jc w:val="right"/>
        <w:rPr>
          <w:rFonts w:ascii="仿宋" w:hAnsi="仿宋" w:eastAsia="仿宋" w:cs="仿宋"/>
          <w:color w:val="auto"/>
          <w:szCs w:val="24"/>
          <w:highlight w:val="none"/>
        </w:rPr>
      </w:pPr>
      <w:r>
        <w:rPr>
          <w:rFonts w:ascii="仿宋" w:hAnsi="仿宋" w:eastAsia="仿宋" w:cs="仿宋"/>
          <w:color w:val="auto"/>
          <w:highlight w:val="none"/>
        </w:rPr>
        <w:t>日期： 年 月 日</w:t>
      </w:r>
    </w:p>
    <w:p w14:paraId="32D83E3D">
      <w:pPr>
        <w:spacing w:line="288" w:lineRule="auto"/>
        <w:rPr>
          <w:rFonts w:ascii="宋体" w:hAnsi="宋体" w:cs="宋体"/>
          <w:b/>
          <w:color w:val="auto"/>
          <w:sz w:val="24"/>
          <w:highlight w:val="none"/>
        </w:rPr>
      </w:pPr>
      <w:r>
        <w:rPr>
          <w:rFonts w:ascii="仿宋" w:hAnsi="仿宋" w:eastAsia="仿宋" w:cs="仿宋"/>
          <w:b/>
          <w:color w:val="auto"/>
          <w:sz w:val="30"/>
          <w:szCs w:val="30"/>
          <w:highlight w:val="none"/>
        </w:rPr>
        <w:t>2、开标一览表（格式）</w:t>
      </w:r>
    </w:p>
    <w:p w14:paraId="6E95103C">
      <w:pPr>
        <w:pStyle w:val="60"/>
        <w:numPr>
          <w:ilvl w:val="0"/>
          <w:numId w:val="0"/>
        </w:numPr>
        <w:spacing w:before="0" w:after="156" w:line="240" w:lineRule="auto"/>
        <w:ind w:left="0" w:firstLine="0"/>
        <w:rPr>
          <w:rFonts w:ascii="仿宋" w:hAnsi="仿宋" w:eastAsia="仿宋" w:cs="仿宋"/>
          <w:color w:val="auto"/>
          <w:sz w:val="24"/>
          <w:highlight w:val="none"/>
        </w:rPr>
      </w:pPr>
      <w:r>
        <w:rPr>
          <w:rFonts w:ascii="仿宋" w:hAnsi="仿宋" w:eastAsia="仿宋" w:cs="仿宋"/>
          <w:color w:val="auto"/>
          <w:sz w:val="24"/>
          <w:highlight w:val="none"/>
        </w:rPr>
        <w:t xml:space="preserve">投标人名称： </w:t>
      </w:r>
    </w:p>
    <w:p w14:paraId="5836F858">
      <w:pPr>
        <w:pStyle w:val="60"/>
        <w:numPr>
          <w:ilvl w:val="0"/>
          <w:numId w:val="0"/>
        </w:numPr>
        <w:spacing w:line="240" w:lineRule="auto"/>
        <w:ind w:left="0" w:firstLine="0"/>
        <w:rPr>
          <w:rFonts w:ascii="仿宋" w:hAnsi="仿宋" w:eastAsia="仿宋" w:cs="仿宋"/>
          <w:color w:val="auto"/>
          <w:sz w:val="24"/>
          <w:highlight w:val="none"/>
          <w:lang w:eastAsia="zh-CN"/>
        </w:rPr>
      </w:pPr>
      <w:r>
        <w:rPr>
          <w:rFonts w:ascii="仿宋" w:hAnsi="仿宋" w:eastAsia="仿宋" w:cs="仿宋"/>
          <w:color w:val="auto"/>
          <w:sz w:val="24"/>
          <w:highlight w:val="none"/>
        </w:rPr>
        <w:t>标    项：</w:t>
      </w:r>
    </w:p>
    <w:p w14:paraId="169765FB">
      <w:pPr>
        <w:pStyle w:val="60"/>
        <w:numPr>
          <w:ilvl w:val="0"/>
          <w:numId w:val="0"/>
        </w:numPr>
        <w:spacing w:before="0" w:after="156" w:line="240" w:lineRule="auto"/>
        <w:ind w:left="0" w:firstLine="0"/>
        <w:rPr>
          <w:rFonts w:cs="仿宋"/>
          <w:color w:val="auto"/>
          <w:highlight w:val="none"/>
        </w:rPr>
      </w:pPr>
      <w:r>
        <w:rPr>
          <w:rFonts w:ascii="仿宋" w:hAnsi="仿宋" w:eastAsia="仿宋" w:cs="仿宋"/>
          <w:color w:val="auto"/>
          <w:sz w:val="24"/>
          <w:highlight w:val="none"/>
        </w:rPr>
        <w:t xml:space="preserve">招标编号：                       </w:t>
      </w:r>
    </w:p>
    <w:tbl>
      <w:tblPr>
        <w:tblStyle w:val="17"/>
        <w:tblW w:w="8936" w:type="dxa"/>
        <w:tblInd w:w="-5" w:type="dxa"/>
        <w:tblLayout w:type="fixed"/>
        <w:tblCellMar>
          <w:top w:w="0" w:type="dxa"/>
          <w:left w:w="108" w:type="dxa"/>
          <w:bottom w:w="0" w:type="dxa"/>
          <w:right w:w="108" w:type="dxa"/>
        </w:tblCellMar>
      </w:tblPr>
      <w:tblGrid>
        <w:gridCol w:w="647"/>
        <w:gridCol w:w="1080"/>
        <w:gridCol w:w="1261"/>
        <w:gridCol w:w="900"/>
        <w:gridCol w:w="720"/>
        <w:gridCol w:w="1440"/>
        <w:gridCol w:w="1080"/>
        <w:gridCol w:w="720"/>
        <w:gridCol w:w="1088"/>
      </w:tblGrid>
      <w:tr w14:paraId="65C902A8">
        <w:tblPrEx>
          <w:tblCellMar>
            <w:top w:w="0" w:type="dxa"/>
            <w:left w:w="108" w:type="dxa"/>
            <w:bottom w:w="0" w:type="dxa"/>
            <w:right w:w="108" w:type="dxa"/>
          </w:tblCellMar>
        </w:tblPrEx>
        <w:trPr>
          <w:trHeight w:val="500" w:hRule="atLeast"/>
        </w:trPr>
        <w:tc>
          <w:tcPr>
            <w:tcW w:w="647" w:type="dxa"/>
            <w:tcBorders>
              <w:top w:val="double" w:color="000000" w:sz="4" w:space="0"/>
              <w:left w:val="double" w:color="000000" w:sz="4" w:space="0"/>
              <w:bottom w:val="single" w:color="000000" w:sz="6" w:space="0"/>
              <w:right w:val="single" w:color="000000" w:sz="6" w:space="0"/>
            </w:tcBorders>
            <w:vAlign w:val="center"/>
          </w:tcPr>
          <w:p w14:paraId="240FF1DD">
            <w:pPr>
              <w:keepNext w:val="0"/>
              <w:keepLines w:val="0"/>
              <w:suppressLineNumbers w:val="0"/>
              <w:tabs>
                <w:tab w:val="left" w:pos="540"/>
              </w:tabs>
              <w:snapToGrid w:val="0"/>
              <w:spacing w:before="0" w:beforeAutospacing="0" w:after="0" w:afterAutospacing="0"/>
              <w:ind w:left="0" w:right="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序号</w:t>
            </w:r>
          </w:p>
        </w:tc>
        <w:tc>
          <w:tcPr>
            <w:tcW w:w="1080" w:type="dxa"/>
            <w:tcBorders>
              <w:top w:val="double" w:color="000000" w:sz="4" w:space="0"/>
              <w:left w:val="single" w:color="000000" w:sz="6" w:space="0"/>
              <w:bottom w:val="single" w:color="000000" w:sz="6" w:space="0"/>
              <w:right w:val="single" w:color="000000" w:sz="4" w:space="0"/>
            </w:tcBorders>
            <w:vAlign w:val="center"/>
          </w:tcPr>
          <w:p w14:paraId="38063D6E">
            <w:pPr>
              <w:keepNext w:val="0"/>
              <w:keepLines w:val="0"/>
              <w:suppressLineNumbers w:val="0"/>
              <w:snapToGrid w:val="0"/>
              <w:spacing w:before="0" w:beforeAutospacing="0" w:after="0" w:afterAutospacing="0"/>
              <w:ind w:left="-107" w:right="-107" w:firstLine="2"/>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名称</w:t>
            </w:r>
          </w:p>
        </w:tc>
        <w:tc>
          <w:tcPr>
            <w:tcW w:w="1261" w:type="dxa"/>
            <w:tcBorders>
              <w:top w:val="double" w:color="000000" w:sz="4" w:space="0"/>
              <w:left w:val="single" w:color="000000" w:sz="4" w:space="0"/>
              <w:bottom w:val="single" w:color="000000" w:sz="6" w:space="0"/>
              <w:right w:val="single" w:color="000000" w:sz="6" w:space="0"/>
            </w:tcBorders>
            <w:vAlign w:val="center"/>
          </w:tcPr>
          <w:p w14:paraId="7A9CD02F">
            <w:pPr>
              <w:keepNext w:val="0"/>
              <w:keepLines w:val="0"/>
              <w:suppressLineNumbers w:val="0"/>
              <w:snapToGrid w:val="0"/>
              <w:spacing w:before="0" w:beforeAutospacing="0" w:after="0" w:afterAutospacing="0"/>
              <w:ind w:left="-107" w:right="-107" w:firstLine="0"/>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服务的提供商</w:t>
            </w:r>
          </w:p>
        </w:tc>
        <w:tc>
          <w:tcPr>
            <w:tcW w:w="900" w:type="dxa"/>
            <w:tcBorders>
              <w:top w:val="double" w:color="000000" w:sz="4" w:space="0"/>
              <w:left w:val="single" w:color="000000" w:sz="6" w:space="0"/>
              <w:bottom w:val="single" w:color="000000" w:sz="6" w:space="0"/>
              <w:right w:val="single" w:color="000000" w:sz="6" w:space="0"/>
            </w:tcBorders>
            <w:vAlign w:val="center"/>
          </w:tcPr>
          <w:p w14:paraId="25437AF9">
            <w:pPr>
              <w:keepNext w:val="0"/>
              <w:keepLines w:val="0"/>
              <w:suppressLineNumbers w:val="0"/>
              <w:snapToGrid w:val="0"/>
              <w:spacing w:before="0" w:beforeAutospacing="0" w:after="0" w:afterAutospacing="0"/>
              <w:ind w:left="-107" w:right="-107" w:firstLine="1"/>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品牌（如有）</w:t>
            </w:r>
          </w:p>
        </w:tc>
        <w:tc>
          <w:tcPr>
            <w:tcW w:w="720" w:type="dxa"/>
            <w:tcBorders>
              <w:top w:val="double" w:color="000000" w:sz="4" w:space="0"/>
              <w:left w:val="single" w:color="000000" w:sz="6" w:space="0"/>
              <w:bottom w:val="single" w:color="000000" w:sz="6" w:space="0"/>
              <w:right w:val="single" w:color="000000" w:sz="6" w:space="0"/>
            </w:tcBorders>
            <w:vAlign w:val="center"/>
          </w:tcPr>
          <w:p w14:paraId="38C169F8">
            <w:pPr>
              <w:keepNext w:val="0"/>
              <w:keepLines w:val="0"/>
              <w:suppressLineNumbers w:val="0"/>
              <w:snapToGrid w:val="0"/>
              <w:spacing w:before="0" w:beforeAutospacing="0" w:after="0" w:afterAutospacing="0"/>
              <w:ind w:left="-107" w:right="-107"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数量</w:t>
            </w:r>
          </w:p>
        </w:tc>
        <w:tc>
          <w:tcPr>
            <w:tcW w:w="1440" w:type="dxa"/>
            <w:tcBorders>
              <w:top w:val="double" w:color="000000" w:sz="4" w:space="0"/>
              <w:left w:val="single" w:color="000000" w:sz="6" w:space="0"/>
              <w:bottom w:val="single" w:color="000000" w:sz="6" w:space="0"/>
              <w:right w:val="single" w:color="000000" w:sz="6" w:space="0"/>
            </w:tcBorders>
            <w:vAlign w:val="center"/>
          </w:tcPr>
          <w:p w14:paraId="4FD5413D">
            <w:pPr>
              <w:keepNext w:val="0"/>
              <w:keepLines w:val="0"/>
              <w:suppressLineNumbers w:val="0"/>
              <w:snapToGrid w:val="0"/>
              <w:spacing w:before="0" w:beforeAutospacing="0" w:after="0" w:afterAutospacing="0"/>
              <w:ind w:left="-107" w:right="-107" w:firstLine="1"/>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b/>
                <w:color w:val="auto"/>
                <w:sz w:val="18"/>
                <w:szCs w:val="18"/>
                <w:highlight w:val="none"/>
              </w:rPr>
              <w:t>具体服务</w:t>
            </w:r>
          </w:p>
        </w:tc>
        <w:tc>
          <w:tcPr>
            <w:tcW w:w="1080" w:type="dxa"/>
            <w:tcBorders>
              <w:top w:val="double" w:color="000000" w:sz="4" w:space="0"/>
              <w:left w:val="single" w:color="000000" w:sz="6" w:space="0"/>
              <w:bottom w:val="single" w:color="000000" w:sz="6" w:space="0"/>
              <w:right w:val="single" w:color="000000" w:sz="6" w:space="0"/>
            </w:tcBorders>
            <w:vAlign w:val="center"/>
          </w:tcPr>
          <w:p w14:paraId="16152897">
            <w:pPr>
              <w:keepNext w:val="0"/>
              <w:keepLines w:val="0"/>
              <w:suppressLineNumbers w:val="0"/>
              <w:snapToGrid w:val="0"/>
              <w:spacing w:before="0" w:beforeAutospacing="0" w:after="0" w:afterAutospacing="0"/>
              <w:ind w:left="-107" w:right="-107" w:firstLine="1"/>
              <w:jc w:val="center"/>
              <w:rPr>
                <w:rFonts w:hint="default" w:ascii="仿宋_GB2312;仿宋" w:hAnsi="仿宋_GB2312;仿宋" w:eastAsia="仿宋_GB2312;仿宋" w:cs="宋体"/>
                <w:color w:val="auto"/>
                <w:spacing w:val="20"/>
                <w:sz w:val="18"/>
                <w:szCs w:val="18"/>
                <w:highlight w:val="none"/>
                <w:lang w:eastAsia="zh-CN"/>
              </w:rPr>
            </w:pPr>
            <w:r>
              <w:rPr>
                <w:rFonts w:hint="default" w:ascii="仿宋_GB2312;仿宋" w:hAnsi="仿宋_GB2312;仿宋" w:eastAsia="仿宋_GB2312;仿宋" w:cs="宋体"/>
                <w:color w:val="auto"/>
                <w:spacing w:val="20"/>
                <w:sz w:val="18"/>
                <w:szCs w:val="18"/>
                <w:highlight w:val="none"/>
                <w:lang w:val="en-US" w:eastAsia="zh-CN"/>
              </w:rPr>
              <w:t>报价</w:t>
            </w:r>
          </w:p>
        </w:tc>
        <w:tc>
          <w:tcPr>
            <w:tcW w:w="720" w:type="dxa"/>
            <w:tcBorders>
              <w:top w:val="double" w:color="000000" w:sz="4" w:space="0"/>
              <w:left w:val="single" w:color="000000" w:sz="6" w:space="0"/>
              <w:bottom w:val="single" w:color="000000" w:sz="6" w:space="0"/>
              <w:right w:val="single" w:color="000000" w:sz="6" w:space="0"/>
            </w:tcBorders>
            <w:vAlign w:val="center"/>
          </w:tcPr>
          <w:p w14:paraId="57FBBF97">
            <w:pPr>
              <w:keepNext w:val="0"/>
              <w:keepLines w:val="0"/>
              <w:suppressLineNumbers w:val="0"/>
              <w:snapToGrid w:val="0"/>
              <w:spacing w:before="0" w:beforeAutospacing="0" w:after="0" w:afterAutospacing="0"/>
              <w:ind w:left="0" w:right="-107" w:hanging="107"/>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lang w:val="en-US" w:eastAsia="zh-CN"/>
              </w:rPr>
              <w:t>服务</w:t>
            </w:r>
            <w:r>
              <w:rPr>
                <w:rFonts w:hint="default" w:ascii="仿宋_GB2312;仿宋" w:hAnsi="仿宋_GB2312;仿宋" w:eastAsia="仿宋_GB2312;仿宋" w:cs="宋体"/>
                <w:color w:val="auto"/>
                <w:spacing w:val="20"/>
                <w:sz w:val="18"/>
                <w:szCs w:val="18"/>
                <w:highlight w:val="none"/>
              </w:rPr>
              <w:t>期</w:t>
            </w:r>
          </w:p>
        </w:tc>
        <w:tc>
          <w:tcPr>
            <w:tcW w:w="1088" w:type="dxa"/>
            <w:tcBorders>
              <w:top w:val="double" w:color="000000" w:sz="4" w:space="0"/>
              <w:left w:val="single" w:color="000000" w:sz="6" w:space="0"/>
              <w:bottom w:val="single" w:color="000000" w:sz="6" w:space="0"/>
              <w:right w:val="double" w:color="000000" w:sz="4" w:space="0"/>
            </w:tcBorders>
            <w:vAlign w:val="center"/>
          </w:tcPr>
          <w:p w14:paraId="239BF583">
            <w:pPr>
              <w:keepNext w:val="0"/>
              <w:keepLines w:val="0"/>
              <w:suppressLineNumbers w:val="0"/>
              <w:tabs>
                <w:tab w:val="left" w:pos="1224"/>
              </w:tabs>
              <w:snapToGrid w:val="0"/>
              <w:spacing w:before="0" w:beforeAutospacing="0" w:after="0" w:afterAutospacing="0"/>
              <w:ind w:left="0" w:right="-107" w:firstLine="0"/>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服务要求（年限）</w:t>
            </w:r>
          </w:p>
        </w:tc>
      </w:tr>
      <w:tr w14:paraId="53278471">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49A94BD1">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1</w:t>
            </w:r>
          </w:p>
        </w:tc>
        <w:tc>
          <w:tcPr>
            <w:tcW w:w="1080" w:type="dxa"/>
            <w:tcBorders>
              <w:top w:val="single" w:color="000000" w:sz="6" w:space="0"/>
              <w:left w:val="single" w:color="000000" w:sz="6" w:space="0"/>
              <w:bottom w:val="single" w:color="000000" w:sz="6" w:space="0"/>
              <w:right w:val="single" w:color="000000" w:sz="4" w:space="0"/>
            </w:tcBorders>
            <w:vAlign w:val="center"/>
          </w:tcPr>
          <w:p w14:paraId="76AB13D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38070D5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0B71CC8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6419BBAA">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228E6F5C">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10EAC5E4">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3A38C5C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8" w:type="dxa"/>
            <w:tcBorders>
              <w:top w:val="single" w:color="000000" w:sz="6" w:space="0"/>
              <w:left w:val="single" w:color="000000" w:sz="6" w:space="0"/>
              <w:bottom w:val="single" w:color="000000" w:sz="6" w:space="0"/>
              <w:right w:val="double" w:color="000000" w:sz="4" w:space="0"/>
            </w:tcBorders>
          </w:tcPr>
          <w:p w14:paraId="0B4F1A24">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284138D8">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0FE23322">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2</w:t>
            </w:r>
          </w:p>
        </w:tc>
        <w:tc>
          <w:tcPr>
            <w:tcW w:w="1080" w:type="dxa"/>
            <w:tcBorders>
              <w:top w:val="single" w:color="000000" w:sz="6" w:space="0"/>
              <w:left w:val="single" w:color="000000" w:sz="6" w:space="0"/>
              <w:bottom w:val="single" w:color="000000" w:sz="6" w:space="0"/>
              <w:right w:val="single" w:color="000000" w:sz="4" w:space="0"/>
            </w:tcBorders>
            <w:vAlign w:val="center"/>
          </w:tcPr>
          <w:p w14:paraId="65DCCA5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5A01CF0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64330243">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6D55F230">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32FE40E7">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4D39D1E3">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2962195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8" w:type="dxa"/>
            <w:tcBorders>
              <w:top w:val="single" w:color="000000" w:sz="6" w:space="0"/>
              <w:left w:val="single" w:color="000000" w:sz="6" w:space="0"/>
              <w:bottom w:val="single" w:color="000000" w:sz="6" w:space="0"/>
              <w:right w:val="double" w:color="000000" w:sz="4" w:space="0"/>
            </w:tcBorders>
          </w:tcPr>
          <w:p w14:paraId="68C8910F">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03D7D464">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52B83FAA">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3</w:t>
            </w:r>
          </w:p>
        </w:tc>
        <w:tc>
          <w:tcPr>
            <w:tcW w:w="1080" w:type="dxa"/>
            <w:tcBorders>
              <w:top w:val="single" w:color="000000" w:sz="6" w:space="0"/>
              <w:left w:val="single" w:color="000000" w:sz="6" w:space="0"/>
              <w:bottom w:val="single" w:color="000000" w:sz="6" w:space="0"/>
              <w:right w:val="single" w:color="000000" w:sz="4" w:space="0"/>
            </w:tcBorders>
            <w:vAlign w:val="center"/>
          </w:tcPr>
          <w:p w14:paraId="625FF8D9">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025F527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77A83130">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2A2FBC3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3AF212DA">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7BE960E5">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7D7729E6">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8" w:type="dxa"/>
            <w:tcBorders>
              <w:top w:val="single" w:color="000000" w:sz="6" w:space="0"/>
              <w:left w:val="single" w:color="000000" w:sz="6" w:space="0"/>
              <w:bottom w:val="single" w:color="000000" w:sz="6" w:space="0"/>
              <w:right w:val="double" w:color="000000" w:sz="4" w:space="0"/>
            </w:tcBorders>
          </w:tcPr>
          <w:p w14:paraId="310A3950">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3ECE490F">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42152710">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4</w:t>
            </w:r>
          </w:p>
        </w:tc>
        <w:tc>
          <w:tcPr>
            <w:tcW w:w="1080" w:type="dxa"/>
            <w:tcBorders>
              <w:top w:val="single" w:color="000000" w:sz="6" w:space="0"/>
              <w:left w:val="single" w:color="000000" w:sz="6" w:space="0"/>
              <w:bottom w:val="single" w:color="000000" w:sz="6" w:space="0"/>
              <w:right w:val="single" w:color="000000" w:sz="4" w:space="0"/>
            </w:tcBorders>
            <w:vAlign w:val="center"/>
          </w:tcPr>
          <w:p w14:paraId="1B2F5E8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44B18DE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5242DDFB">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743231BF">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3AD2DFE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1063B8F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670ED0F7">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1088" w:type="dxa"/>
            <w:tcBorders>
              <w:top w:val="single" w:color="000000" w:sz="6" w:space="0"/>
              <w:left w:val="single" w:color="000000" w:sz="6" w:space="0"/>
              <w:bottom w:val="single" w:color="000000" w:sz="6" w:space="0"/>
              <w:right w:val="double" w:color="000000" w:sz="4" w:space="0"/>
            </w:tcBorders>
          </w:tcPr>
          <w:p w14:paraId="0E32B3F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0DC77B4C">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289452FF">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lang w:val="en-US" w:eastAsia="zh-CN"/>
              </w:rPr>
            </w:pPr>
            <w:r>
              <w:rPr>
                <w:rFonts w:hint="default" w:ascii="仿宋_GB2312;仿宋" w:hAnsi="仿宋_GB2312;仿宋" w:eastAsia="仿宋_GB2312;仿宋" w:cs="宋体"/>
                <w:color w:val="auto"/>
                <w:spacing w:val="20"/>
                <w:sz w:val="18"/>
                <w:szCs w:val="18"/>
                <w:highlight w:val="none"/>
                <w:lang w:val="en-US" w:eastAsia="zh-CN"/>
              </w:rPr>
              <w:t>5</w:t>
            </w:r>
          </w:p>
        </w:tc>
        <w:tc>
          <w:tcPr>
            <w:tcW w:w="1080" w:type="dxa"/>
            <w:tcBorders>
              <w:top w:val="single" w:color="000000" w:sz="6" w:space="0"/>
              <w:left w:val="single" w:color="000000" w:sz="6" w:space="0"/>
              <w:bottom w:val="single" w:color="000000" w:sz="6" w:space="0"/>
              <w:right w:val="single" w:color="000000" w:sz="4" w:space="0"/>
            </w:tcBorders>
            <w:vAlign w:val="center"/>
          </w:tcPr>
          <w:p w14:paraId="0F3777C9">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eastAsia="zh-CN"/>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6C2502FA">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7E944EA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5D839106">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52AE2E06">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57A7A0E3">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5A52D384">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1088" w:type="dxa"/>
            <w:tcBorders>
              <w:top w:val="single" w:color="000000" w:sz="6" w:space="0"/>
              <w:left w:val="single" w:color="000000" w:sz="6" w:space="0"/>
              <w:bottom w:val="single" w:color="000000" w:sz="6" w:space="0"/>
              <w:right w:val="double" w:color="000000" w:sz="4" w:space="0"/>
            </w:tcBorders>
          </w:tcPr>
          <w:p w14:paraId="1963B85E">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20047C5E">
        <w:tblPrEx>
          <w:tblCellMar>
            <w:top w:w="0" w:type="dxa"/>
            <w:left w:w="108" w:type="dxa"/>
            <w:bottom w:w="0" w:type="dxa"/>
            <w:right w:w="108" w:type="dxa"/>
          </w:tblCellMar>
        </w:tblPrEx>
        <w:trPr>
          <w:trHeight w:val="440" w:hRule="atLeast"/>
        </w:trPr>
        <w:tc>
          <w:tcPr>
            <w:tcW w:w="1727" w:type="dxa"/>
            <w:gridSpan w:val="2"/>
            <w:vMerge w:val="restart"/>
            <w:tcBorders>
              <w:top w:val="single" w:color="000000" w:sz="6" w:space="0"/>
              <w:left w:val="double" w:color="000000" w:sz="4" w:space="0"/>
              <w:bottom w:val="single" w:color="000000" w:sz="6" w:space="0"/>
              <w:right w:val="single" w:color="000000" w:sz="4" w:space="0"/>
            </w:tcBorders>
            <w:vAlign w:val="center"/>
          </w:tcPr>
          <w:p w14:paraId="74131312">
            <w:pPr>
              <w:keepNext w:val="0"/>
              <w:keepLines w:val="0"/>
              <w:suppressLineNumbers w:val="0"/>
              <w:snapToGrid w:val="0"/>
              <w:spacing w:before="0" w:beforeAutospacing="0" w:after="0" w:afterAutospacing="0"/>
              <w:ind w:left="0" w:right="172" w:firstLine="444"/>
              <w:jc w:val="center"/>
              <w:rPr>
                <w:rFonts w:hint="default" w:ascii="仿宋_GB2312;仿宋" w:hAnsi="仿宋_GB2312;仿宋" w:eastAsia="仿宋_GB2312;仿宋" w:cs="宋体"/>
                <w:color w:val="auto"/>
                <w:spacing w:val="20"/>
                <w:sz w:val="18"/>
                <w:szCs w:val="18"/>
                <w:highlight w:val="none"/>
                <w:lang w:eastAsia="zh-CN"/>
              </w:rPr>
            </w:pPr>
            <w:r>
              <w:rPr>
                <w:rFonts w:hint="default" w:ascii="仿宋_GB2312;仿宋" w:hAnsi="仿宋_GB2312;仿宋" w:eastAsia="仿宋_GB2312;仿宋" w:cs="宋体"/>
                <w:color w:val="auto"/>
                <w:spacing w:val="20"/>
                <w:sz w:val="18"/>
                <w:szCs w:val="18"/>
                <w:highlight w:val="none"/>
              </w:rPr>
              <w:t>投标</w:t>
            </w:r>
            <w:r>
              <w:rPr>
                <w:rFonts w:hint="default" w:ascii="仿宋_GB2312;仿宋" w:hAnsi="仿宋_GB2312;仿宋" w:eastAsia="仿宋_GB2312;仿宋" w:cs="宋体"/>
                <w:color w:val="auto"/>
                <w:spacing w:val="20"/>
                <w:sz w:val="18"/>
                <w:szCs w:val="18"/>
                <w:highlight w:val="none"/>
                <w:lang w:val="en-US" w:eastAsia="zh-CN"/>
              </w:rPr>
              <w:t>报价（元）</w:t>
            </w:r>
          </w:p>
        </w:tc>
        <w:tc>
          <w:tcPr>
            <w:tcW w:w="7209" w:type="dxa"/>
            <w:gridSpan w:val="7"/>
            <w:tcBorders>
              <w:top w:val="single" w:color="000000" w:sz="6" w:space="0"/>
              <w:left w:val="single" w:color="000000" w:sz="4" w:space="0"/>
              <w:bottom w:val="single" w:color="000000" w:sz="4" w:space="0"/>
              <w:right w:val="double" w:color="000000" w:sz="4" w:space="0"/>
            </w:tcBorders>
            <w:vAlign w:val="center"/>
          </w:tcPr>
          <w:p w14:paraId="0B0724B3">
            <w:pPr>
              <w:keepNext w:val="0"/>
              <w:keepLines w:val="0"/>
              <w:suppressLineNumbers w:val="0"/>
              <w:snapToGrid w:val="0"/>
              <w:spacing w:before="0" w:beforeAutospacing="0" w:after="0" w:afterAutospacing="0"/>
              <w:ind w:left="0" w:right="172" w:firstLine="0"/>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小写：</w:t>
            </w:r>
          </w:p>
        </w:tc>
      </w:tr>
      <w:tr w14:paraId="57145E22">
        <w:tblPrEx>
          <w:tblCellMar>
            <w:top w:w="0" w:type="dxa"/>
            <w:left w:w="108" w:type="dxa"/>
            <w:bottom w:w="0" w:type="dxa"/>
            <w:right w:w="108" w:type="dxa"/>
          </w:tblCellMar>
        </w:tblPrEx>
        <w:trPr>
          <w:trHeight w:val="457" w:hRule="atLeast"/>
        </w:trPr>
        <w:tc>
          <w:tcPr>
            <w:tcW w:w="1727" w:type="dxa"/>
            <w:gridSpan w:val="2"/>
            <w:vMerge w:val="continue"/>
            <w:tcBorders>
              <w:top w:val="single" w:color="000000" w:sz="6" w:space="0"/>
              <w:left w:val="double" w:color="000000" w:sz="4" w:space="0"/>
              <w:bottom w:val="single" w:color="000000" w:sz="6" w:space="0"/>
              <w:right w:val="single" w:color="000000" w:sz="4" w:space="0"/>
            </w:tcBorders>
            <w:vAlign w:val="center"/>
          </w:tcPr>
          <w:p w14:paraId="09E2015A">
            <w:pPr>
              <w:keepNext w:val="0"/>
              <w:keepLines w:val="0"/>
              <w:suppressLineNumbers w:val="0"/>
              <w:snapToGrid w:val="0"/>
              <w:spacing w:before="0" w:beforeAutospacing="0" w:after="0" w:afterAutospacing="0"/>
              <w:ind w:left="0" w:right="172" w:firstLine="444"/>
              <w:jc w:val="center"/>
              <w:rPr>
                <w:rFonts w:hint="default" w:ascii="仿宋_GB2312;仿宋" w:hAnsi="仿宋_GB2312;仿宋" w:eastAsia="仿宋_GB2312;仿宋" w:cs="宋体"/>
                <w:color w:val="auto"/>
                <w:spacing w:val="20"/>
                <w:sz w:val="18"/>
                <w:szCs w:val="18"/>
                <w:highlight w:val="none"/>
              </w:rPr>
            </w:pPr>
          </w:p>
        </w:tc>
        <w:tc>
          <w:tcPr>
            <w:tcW w:w="7209" w:type="dxa"/>
            <w:gridSpan w:val="7"/>
            <w:tcBorders>
              <w:top w:val="single" w:color="000000" w:sz="4" w:space="0"/>
              <w:left w:val="single" w:color="000000" w:sz="4" w:space="0"/>
              <w:bottom w:val="double" w:color="000000" w:sz="4" w:space="0"/>
              <w:right w:val="double" w:color="000000" w:sz="4" w:space="0"/>
            </w:tcBorders>
            <w:vAlign w:val="center"/>
          </w:tcPr>
          <w:p w14:paraId="3C256495">
            <w:pPr>
              <w:keepNext w:val="0"/>
              <w:keepLines w:val="0"/>
              <w:suppressLineNumbers w:val="0"/>
              <w:snapToGrid w:val="0"/>
              <w:spacing w:before="0" w:beforeAutospacing="0" w:after="0" w:afterAutospacing="0"/>
              <w:ind w:left="0" w:right="172" w:firstLine="0"/>
              <w:rPr>
                <w:rFonts w:hint="default" w:ascii="仿宋_GB2312;仿宋" w:hAnsi="仿宋_GB2312;仿宋" w:eastAsia="仿宋_GB2312;仿宋" w:cs="宋体"/>
                <w:color w:val="auto"/>
                <w:spacing w:val="20"/>
                <w:sz w:val="18"/>
                <w:szCs w:val="18"/>
                <w:highlight w:val="none"/>
                <w:lang w:val="en-US" w:eastAsia="zh-CN"/>
              </w:rPr>
            </w:pPr>
            <w:r>
              <w:rPr>
                <w:rFonts w:hint="default" w:ascii="仿宋_GB2312;仿宋" w:hAnsi="仿宋_GB2312;仿宋" w:eastAsia="仿宋_GB2312;仿宋" w:cs="宋体"/>
                <w:color w:val="auto"/>
                <w:spacing w:val="20"/>
                <w:sz w:val="18"/>
                <w:szCs w:val="18"/>
                <w:highlight w:val="none"/>
              </w:rPr>
              <w:t>大写：</w:t>
            </w:r>
          </w:p>
        </w:tc>
      </w:tr>
    </w:tbl>
    <w:p w14:paraId="7A478149">
      <w:pPr>
        <w:pStyle w:val="60"/>
        <w:numPr>
          <w:ilvl w:val="0"/>
          <w:numId w:val="0"/>
        </w:numPr>
        <w:spacing w:before="0" w:after="156"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 xml:space="preserve">             </w:t>
      </w:r>
    </w:p>
    <w:p w14:paraId="185FE04A">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 xml:space="preserve"> </w:t>
      </w:r>
    </w:p>
    <w:p w14:paraId="6E1156FE">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注: 1.报价一经涂改，应在涂改处加盖单位公章或者由法定代表人或其授权代表签字或盖章，否则其投标作无效投标处理。</w:t>
      </w:r>
    </w:p>
    <w:p w14:paraId="4989D2BA">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招标人不接受某一标项中有2个(含)以上的报价或方案，若投标人在此表中有2个（含）以上的报价或方案，其投标作无效投标处理。</w:t>
      </w:r>
    </w:p>
    <w:p w14:paraId="191B39C9">
      <w:pPr>
        <w:pStyle w:val="60"/>
        <w:numPr>
          <w:ilvl w:val="0"/>
          <w:numId w:val="0"/>
        </w:numPr>
        <w:spacing w:line="288" w:lineRule="auto"/>
        <w:ind w:left="0" w:firstLine="480"/>
        <w:rPr>
          <w:rFonts w:ascii="仿宋" w:hAnsi="仿宋" w:eastAsia="仿宋" w:cs="仿宋"/>
          <w:color w:val="auto"/>
          <w:sz w:val="24"/>
          <w:highlight w:val="none"/>
        </w:rPr>
      </w:pPr>
    </w:p>
    <w:p w14:paraId="7FE8AD82">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投标人名称（盖章）：</w:t>
      </w:r>
    </w:p>
    <w:p w14:paraId="3EEC63F7">
      <w:pPr>
        <w:pStyle w:val="60"/>
        <w:numPr>
          <w:ilvl w:val="0"/>
          <w:numId w:val="0"/>
        </w:numPr>
        <w:spacing w:line="288" w:lineRule="auto"/>
        <w:ind w:left="0" w:firstLine="480"/>
        <w:rPr>
          <w:rFonts w:ascii="仿宋" w:hAnsi="仿宋" w:eastAsia="仿宋" w:cs="仿宋"/>
          <w:color w:val="auto"/>
          <w:sz w:val="24"/>
          <w:highlight w:val="none"/>
        </w:rPr>
      </w:pPr>
    </w:p>
    <w:p w14:paraId="66D7B972">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法定代表人或其授权代表（签字或盖章）：         日期：    年   月   日</w:t>
      </w:r>
    </w:p>
    <w:p w14:paraId="0AD5C7AA">
      <w:pPr>
        <w:pStyle w:val="9"/>
        <w:rPr>
          <w:rFonts w:ascii="仿宋" w:hAnsi="仿宋" w:eastAsia="仿宋" w:cs="仿宋"/>
          <w:color w:val="auto"/>
          <w:sz w:val="24"/>
          <w:highlight w:val="none"/>
        </w:rPr>
      </w:pPr>
    </w:p>
    <w:p w14:paraId="21786A2D">
      <w:pPr>
        <w:pStyle w:val="9"/>
        <w:rPr>
          <w:color w:val="auto"/>
          <w:highlight w:val="none"/>
        </w:rPr>
      </w:pPr>
    </w:p>
    <w:p w14:paraId="5825076D">
      <w:pPr>
        <w:pStyle w:val="9"/>
        <w:rPr>
          <w:color w:val="auto"/>
          <w:highlight w:val="none"/>
        </w:rPr>
      </w:pPr>
    </w:p>
    <w:p w14:paraId="0E953077">
      <w:pPr>
        <w:pStyle w:val="9"/>
        <w:rPr>
          <w:color w:val="auto"/>
          <w:highlight w:val="none"/>
        </w:rPr>
      </w:pPr>
    </w:p>
    <w:p w14:paraId="13B47D1D">
      <w:pPr>
        <w:pStyle w:val="9"/>
        <w:rPr>
          <w:color w:val="auto"/>
          <w:highlight w:val="none"/>
        </w:rPr>
      </w:pPr>
    </w:p>
    <w:p w14:paraId="22AA7259">
      <w:pPr>
        <w:rPr>
          <w:color w:val="auto"/>
          <w:highlight w:val="none"/>
        </w:rPr>
      </w:pPr>
    </w:p>
    <w:p w14:paraId="0CD31705">
      <w:pPr>
        <w:pStyle w:val="74"/>
        <w:rPr>
          <w:color w:val="auto"/>
          <w:highlight w:val="none"/>
        </w:rPr>
      </w:pPr>
    </w:p>
    <w:p w14:paraId="20026D7B">
      <w:pPr>
        <w:pStyle w:val="74"/>
        <w:rPr>
          <w:color w:val="auto"/>
          <w:highlight w:val="none"/>
        </w:rPr>
      </w:pPr>
    </w:p>
    <w:p w14:paraId="277517A7">
      <w:pPr>
        <w:pStyle w:val="74"/>
        <w:rPr>
          <w:color w:val="auto"/>
          <w:highlight w:val="none"/>
        </w:rPr>
      </w:pPr>
    </w:p>
    <w:p w14:paraId="3CDB2A80">
      <w:pPr>
        <w:pStyle w:val="74"/>
        <w:rPr>
          <w:color w:val="auto"/>
          <w:highlight w:val="none"/>
        </w:rPr>
      </w:pPr>
    </w:p>
    <w:p w14:paraId="3AC26A06">
      <w:pPr>
        <w:pStyle w:val="74"/>
        <w:rPr>
          <w:color w:val="auto"/>
          <w:highlight w:val="none"/>
        </w:rPr>
      </w:pPr>
    </w:p>
    <w:p w14:paraId="645FA85E">
      <w:pPr>
        <w:pStyle w:val="9"/>
        <w:rPr>
          <w:color w:val="auto"/>
          <w:highlight w:val="none"/>
        </w:rPr>
      </w:pPr>
    </w:p>
    <w:p w14:paraId="57551EBE">
      <w:pPr>
        <w:numPr>
          <w:ilvl w:val="0"/>
          <w:numId w:val="0"/>
        </w:numPr>
        <w:spacing w:line="288" w:lineRule="auto"/>
        <w:jc w:val="center"/>
        <w:outlineLvl w:val="0"/>
        <w:rPr>
          <w:rFonts w:ascii="仿宋" w:hAnsi="仿宋" w:eastAsia="仿宋" w:cs="仿宋"/>
          <w:b/>
          <w:color w:val="auto"/>
          <w:kern w:val="0"/>
          <w:sz w:val="36"/>
          <w:szCs w:val="36"/>
          <w:highlight w:val="none"/>
        </w:rPr>
      </w:pPr>
      <w:r>
        <w:rPr>
          <w:rFonts w:ascii="仿宋" w:hAnsi="仿宋" w:eastAsia="仿宋" w:cs="仿宋"/>
          <w:color w:val="auto"/>
          <w:sz w:val="36"/>
          <w:szCs w:val="36"/>
          <w:highlight w:val="none"/>
          <w:lang w:val="zh-CN"/>
        </w:rPr>
        <w:t>▲</w:t>
      </w:r>
      <w:r>
        <w:rPr>
          <w:rFonts w:ascii="仿宋" w:hAnsi="仿宋" w:eastAsia="仿宋" w:cs="仿宋"/>
          <w:b/>
          <w:color w:val="auto"/>
          <w:kern w:val="0"/>
          <w:sz w:val="36"/>
          <w:szCs w:val="36"/>
          <w:highlight w:val="none"/>
        </w:rPr>
        <w:t>商务技术文件资料部分</w:t>
      </w:r>
    </w:p>
    <w:p w14:paraId="77EF7C29">
      <w:pPr>
        <w:numPr>
          <w:ilvl w:val="0"/>
          <w:numId w:val="0"/>
        </w:numPr>
        <w:spacing w:line="288" w:lineRule="auto"/>
        <w:jc w:val="center"/>
        <w:outlineLvl w:val="0"/>
        <w:rPr>
          <w:rFonts w:ascii="仿宋" w:hAnsi="仿宋" w:eastAsia="仿宋" w:cs="仿宋"/>
          <w:b/>
          <w:color w:val="auto"/>
          <w:kern w:val="0"/>
          <w:sz w:val="24"/>
          <w:szCs w:val="36"/>
          <w:highlight w:val="none"/>
        </w:rPr>
      </w:pPr>
    </w:p>
    <w:p w14:paraId="44542520">
      <w:pPr>
        <w:numPr>
          <w:ilvl w:val="0"/>
          <w:numId w:val="0"/>
        </w:numPr>
        <w:spacing w:line="288" w:lineRule="auto"/>
        <w:jc w:val="center"/>
        <w:outlineLvl w:val="0"/>
        <w:rPr>
          <w:rFonts w:ascii="仿宋" w:hAnsi="仿宋" w:eastAsia="仿宋" w:cs="仿宋"/>
          <w:b/>
          <w:color w:val="auto"/>
          <w:kern w:val="0"/>
          <w:sz w:val="28"/>
          <w:szCs w:val="28"/>
          <w:highlight w:val="none"/>
        </w:rPr>
      </w:pPr>
      <w:r>
        <w:rPr>
          <w:rFonts w:ascii="仿宋" w:hAnsi="仿宋" w:eastAsia="仿宋" w:cs="仿宋"/>
          <w:b/>
          <w:color w:val="auto"/>
          <w:kern w:val="0"/>
          <w:sz w:val="28"/>
          <w:szCs w:val="28"/>
          <w:highlight w:val="none"/>
        </w:rPr>
        <w:t>目录</w:t>
      </w:r>
    </w:p>
    <w:p w14:paraId="5313AA1B">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（1）法定代表人授权书 ………………………………………………………（页码）</w:t>
      </w:r>
    </w:p>
    <w:p w14:paraId="2809FE47">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（2）法定代表人及其授权代表的身份证（复印件）………………………（页码）（3）法定代表人身份证明书…………………………………………………（页码）</w:t>
      </w:r>
    </w:p>
    <w:p w14:paraId="1901B2EF">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4</w:t>
      </w:r>
      <w:r>
        <w:rPr>
          <w:rFonts w:ascii="仿宋" w:hAnsi="仿宋" w:eastAsia="仿宋" w:cs="仿宋"/>
          <w:color w:val="auto"/>
          <w:highlight w:val="none"/>
        </w:rPr>
        <w:t>）资格审查有关的书面承诺函……………………………………………（页码）</w:t>
      </w:r>
    </w:p>
    <w:p w14:paraId="6CF08A9E">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5</w:t>
      </w:r>
      <w:r>
        <w:rPr>
          <w:rFonts w:ascii="仿宋" w:hAnsi="仿宋" w:eastAsia="仿宋" w:cs="仿宋"/>
          <w:color w:val="auto"/>
          <w:highlight w:val="none"/>
        </w:rPr>
        <w:t>）营业执照复印件…………………………………………………………（页码）</w:t>
      </w:r>
    </w:p>
    <w:p w14:paraId="65F86135">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6</w:t>
      </w:r>
      <w:r>
        <w:rPr>
          <w:rFonts w:ascii="仿宋" w:hAnsi="仿宋" w:eastAsia="仿宋" w:cs="仿宋"/>
          <w:color w:val="auto"/>
          <w:highlight w:val="none"/>
        </w:rPr>
        <w:t>）</w:t>
      </w:r>
      <w:r>
        <w:rPr>
          <w:rFonts w:ascii="仿宋" w:hAnsi="仿宋" w:eastAsia="仿宋" w:cs="仿宋"/>
          <w:color w:val="auto"/>
          <w:highlight w:val="none"/>
          <w:lang w:val="zh-CN"/>
        </w:rPr>
        <w:t>主要业绩证明… ………………………………………………</w:t>
      </w:r>
      <w:r>
        <w:rPr>
          <w:rFonts w:ascii="仿宋" w:hAnsi="仿宋" w:eastAsia="仿宋" w:cs="仿宋"/>
          <w:color w:val="auto"/>
          <w:highlight w:val="none"/>
        </w:rPr>
        <w:t>……</w:t>
      </w:r>
      <w:r>
        <w:rPr>
          <w:rFonts w:ascii="仿宋" w:hAnsi="仿宋" w:eastAsia="仿宋" w:cs="仿宋"/>
          <w:color w:val="auto"/>
          <w:highlight w:val="none"/>
          <w:lang w:val="zh-CN"/>
        </w:rPr>
        <w:t>…</w:t>
      </w:r>
      <w:r>
        <w:rPr>
          <w:rFonts w:ascii="仿宋" w:hAnsi="仿宋" w:eastAsia="仿宋" w:cs="仿宋"/>
          <w:color w:val="auto"/>
          <w:highlight w:val="none"/>
        </w:rPr>
        <w:t>（页码）</w:t>
      </w:r>
    </w:p>
    <w:p w14:paraId="6A436EE2">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7</w:t>
      </w:r>
      <w:r>
        <w:rPr>
          <w:rFonts w:ascii="仿宋" w:hAnsi="仿宋" w:eastAsia="仿宋" w:cs="仿宋"/>
          <w:color w:val="auto"/>
          <w:highlight w:val="none"/>
        </w:rPr>
        <w:t>）技术解决方案……………………………………………………………（页码）</w:t>
      </w:r>
    </w:p>
    <w:p w14:paraId="7FDBDC48">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8</w:t>
      </w:r>
      <w:r>
        <w:rPr>
          <w:rFonts w:ascii="仿宋" w:hAnsi="仿宋" w:eastAsia="仿宋" w:cs="仿宋"/>
          <w:color w:val="auto"/>
          <w:highlight w:val="none"/>
        </w:rPr>
        <w:t>）技术偏离说明表…………………………………………………………（页码）</w:t>
      </w:r>
    </w:p>
    <w:p w14:paraId="01B2280E">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9</w:t>
      </w:r>
      <w:r>
        <w:rPr>
          <w:rFonts w:ascii="仿宋" w:hAnsi="仿宋" w:eastAsia="仿宋" w:cs="仿宋"/>
          <w:color w:val="auto"/>
          <w:highlight w:val="none"/>
        </w:rPr>
        <w:t>）投标承诺书………………………………………………………………（页码）</w:t>
      </w:r>
    </w:p>
    <w:p w14:paraId="4E57D922">
      <w:pPr>
        <w:pStyle w:val="92"/>
        <w:spacing w:line="288" w:lineRule="auto"/>
        <w:ind w:left="0" w:firstLine="0"/>
        <w:rPr>
          <w:rFonts w:ascii="仿宋" w:hAnsi="仿宋" w:eastAsia="仿宋" w:cs="仿宋"/>
          <w:color w:val="auto"/>
          <w:highlight w:val="none"/>
          <w:lang w:val="zh-CN"/>
        </w:rPr>
      </w:pPr>
      <w:r>
        <w:rPr>
          <w:rFonts w:ascii="仿宋" w:hAnsi="仿宋" w:eastAsia="仿宋" w:cs="仿宋"/>
          <w:color w:val="auto"/>
          <w:highlight w:val="none"/>
          <w:lang w:val="zh-CN"/>
        </w:rPr>
        <w:t>（</w:t>
      </w:r>
      <w:r>
        <w:rPr>
          <w:rFonts w:ascii="仿宋" w:hAnsi="仿宋" w:eastAsia="仿宋" w:cs="仿宋"/>
          <w:color w:val="auto"/>
          <w:highlight w:val="none"/>
          <w:lang w:val="en-US" w:eastAsia="zh-CN"/>
        </w:rPr>
        <w:t>10</w:t>
      </w:r>
      <w:r>
        <w:rPr>
          <w:rFonts w:ascii="仿宋" w:hAnsi="仿宋" w:eastAsia="仿宋" w:cs="仿宋"/>
          <w:color w:val="auto"/>
          <w:highlight w:val="none"/>
          <w:lang w:val="zh-CN"/>
        </w:rPr>
        <w:t>）认为需要的其他技术文件或说明………………………………………（页码）</w:t>
      </w:r>
    </w:p>
    <w:p w14:paraId="7A5888B9">
      <w:pPr>
        <w:spacing w:line="288" w:lineRule="auto"/>
        <w:rPr>
          <w:rFonts w:ascii="仿宋" w:hAnsi="仿宋" w:eastAsia="仿宋" w:cs="仿宋"/>
          <w:b/>
          <w:bCs/>
          <w:color w:val="auto"/>
          <w:sz w:val="24"/>
          <w:highlight w:val="none"/>
        </w:rPr>
      </w:pPr>
      <w:r>
        <w:rPr>
          <w:rFonts w:ascii="仿宋" w:hAnsi="仿宋" w:eastAsia="仿宋" w:cs="仿宋"/>
          <w:b/>
          <w:bCs/>
          <w:color w:val="auto"/>
          <w:sz w:val="24"/>
          <w:highlight w:val="none"/>
        </w:rPr>
        <w:t>注：以上目录是基本格式要求，各投标人可根据自身情况进一步细化。</w:t>
      </w:r>
    </w:p>
    <w:p w14:paraId="1EDCDC78">
      <w:pPr>
        <w:spacing w:line="288" w:lineRule="auto"/>
        <w:rPr>
          <w:rFonts w:ascii="仿宋" w:hAnsi="仿宋" w:eastAsia="仿宋" w:cs="仿宋"/>
          <w:b/>
          <w:bCs/>
          <w:color w:val="auto"/>
          <w:sz w:val="24"/>
          <w:highlight w:val="none"/>
        </w:rPr>
      </w:pPr>
    </w:p>
    <w:p w14:paraId="44D1830A">
      <w:pPr>
        <w:spacing w:line="288" w:lineRule="auto"/>
        <w:rPr>
          <w:rFonts w:ascii="仿宋" w:hAnsi="仿宋" w:eastAsia="仿宋" w:cs="仿宋"/>
          <w:b/>
          <w:bCs/>
          <w:color w:val="auto"/>
          <w:sz w:val="30"/>
          <w:szCs w:val="30"/>
          <w:highlight w:val="none"/>
        </w:rPr>
      </w:pPr>
    </w:p>
    <w:p w14:paraId="4ACA088A">
      <w:pPr>
        <w:spacing w:line="288" w:lineRule="auto"/>
        <w:rPr>
          <w:rFonts w:ascii="仿宋" w:hAnsi="仿宋" w:eastAsia="仿宋" w:cs="仿宋"/>
          <w:b/>
          <w:color w:val="auto"/>
          <w:sz w:val="30"/>
          <w:szCs w:val="30"/>
          <w:highlight w:val="none"/>
        </w:rPr>
      </w:pPr>
    </w:p>
    <w:p w14:paraId="514DB538">
      <w:pPr>
        <w:spacing w:line="288" w:lineRule="auto"/>
        <w:rPr>
          <w:rFonts w:ascii="仿宋" w:hAnsi="仿宋" w:eastAsia="仿宋" w:cs="仿宋"/>
          <w:b/>
          <w:color w:val="auto"/>
          <w:sz w:val="30"/>
          <w:szCs w:val="30"/>
          <w:highlight w:val="none"/>
        </w:rPr>
      </w:pPr>
    </w:p>
    <w:p w14:paraId="136F7DAD">
      <w:pPr>
        <w:spacing w:line="288" w:lineRule="auto"/>
        <w:rPr>
          <w:rFonts w:ascii="仿宋" w:hAnsi="仿宋" w:eastAsia="仿宋" w:cs="仿宋"/>
          <w:b/>
          <w:color w:val="auto"/>
          <w:sz w:val="30"/>
          <w:szCs w:val="30"/>
          <w:highlight w:val="none"/>
        </w:rPr>
      </w:pPr>
    </w:p>
    <w:p w14:paraId="6307FD29">
      <w:pPr>
        <w:spacing w:line="288" w:lineRule="auto"/>
        <w:rPr>
          <w:rFonts w:ascii="仿宋" w:hAnsi="仿宋" w:eastAsia="仿宋" w:cs="仿宋"/>
          <w:b/>
          <w:color w:val="auto"/>
          <w:sz w:val="30"/>
          <w:szCs w:val="30"/>
          <w:highlight w:val="none"/>
        </w:rPr>
      </w:pPr>
    </w:p>
    <w:p w14:paraId="4674B05A">
      <w:pPr>
        <w:spacing w:line="288" w:lineRule="auto"/>
        <w:rPr>
          <w:rFonts w:ascii="仿宋" w:hAnsi="仿宋" w:eastAsia="仿宋" w:cs="仿宋"/>
          <w:b/>
          <w:color w:val="auto"/>
          <w:sz w:val="30"/>
          <w:szCs w:val="30"/>
          <w:highlight w:val="none"/>
        </w:rPr>
      </w:pPr>
    </w:p>
    <w:p w14:paraId="20B98E6F">
      <w:pPr>
        <w:spacing w:line="288" w:lineRule="auto"/>
        <w:rPr>
          <w:rFonts w:ascii="仿宋" w:hAnsi="仿宋" w:eastAsia="仿宋" w:cs="仿宋"/>
          <w:b/>
          <w:color w:val="auto"/>
          <w:sz w:val="30"/>
          <w:szCs w:val="30"/>
          <w:highlight w:val="none"/>
        </w:rPr>
      </w:pPr>
    </w:p>
    <w:p w14:paraId="34768A0C">
      <w:pPr>
        <w:spacing w:line="288" w:lineRule="auto"/>
        <w:rPr>
          <w:rFonts w:ascii="仿宋" w:hAnsi="仿宋" w:eastAsia="仿宋" w:cs="仿宋"/>
          <w:b/>
          <w:color w:val="auto"/>
          <w:sz w:val="30"/>
          <w:szCs w:val="30"/>
          <w:highlight w:val="none"/>
        </w:rPr>
      </w:pPr>
    </w:p>
    <w:p w14:paraId="40F8FFDE">
      <w:pPr>
        <w:spacing w:line="288" w:lineRule="auto"/>
        <w:rPr>
          <w:rFonts w:ascii="仿宋" w:hAnsi="仿宋" w:eastAsia="仿宋" w:cs="仿宋"/>
          <w:b/>
          <w:color w:val="auto"/>
          <w:sz w:val="30"/>
          <w:szCs w:val="30"/>
          <w:highlight w:val="none"/>
        </w:rPr>
      </w:pPr>
    </w:p>
    <w:p w14:paraId="7631C179">
      <w:pPr>
        <w:spacing w:line="288" w:lineRule="auto"/>
        <w:rPr>
          <w:rFonts w:ascii="仿宋" w:hAnsi="仿宋" w:eastAsia="仿宋" w:cs="仿宋"/>
          <w:b/>
          <w:color w:val="auto"/>
          <w:sz w:val="30"/>
          <w:szCs w:val="30"/>
          <w:highlight w:val="none"/>
        </w:rPr>
      </w:pPr>
    </w:p>
    <w:p w14:paraId="0D094547">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rPr>
        <w:t xml:space="preserve">1、法定代表人授权委托书（格式） </w:t>
      </w:r>
    </w:p>
    <w:p w14:paraId="5EF1D6FD">
      <w:pPr>
        <w:spacing w:line="288" w:lineRule="auto"/>
        <w:jc w:val="center"/>
        <w:rPr>
          <w:rFonts w:ascii="仿宋" w:hAnsi="仿宋" w:eastAsia="仿宋" w:cs="仿宋"/>
          <w:b/>
          <w:color w:val="auto"/>
          <w:sz w:val="24"/>
          <w:szCs w:val="30"/>
          <w:highlight w:val="none"/>
        </w:rPr>
      </w:pPr>
    </w:p>
    <w:p w14:paraId="632CF309">
      <w:pPr>
        <w:snapToGrid w:val="0"/>
        <w:spacing w:line="288" w:lineRule="auto"/>
        <w:ind w:firstLine="480"/>
        <w:rPr>
          <w:rFonts w:ascii="仿宋" w:hAnsi="仿宋" w:eastAsia="仿宋" w:cs="仿宋"/>
          <w:color w:val="auto"/>
          <w:sz w:val="24"/>
          <w:highlight w:val="none"/>
        </w:rPr>
      </w:pPr>
      <w:r>
        <w:rPr>
          <w:rFonts w:ascii="仿宋" w:hAnsi="仿宋" w:eastAsia="仿宋" w:cs="仿宋"/>
          <w:color w:val="auto"/>
          <w:sz w:val="24"/>
          <w:highlight w:val="none"/>
        </w:rPr>
        <w:t>本授权委托书声明：我(姓名)</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系（投标人名称）</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 xml:space="preserve"> 的法定代表人，现授权委托（单位名称）</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的（姓名）</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为我公司授权代表，身份证号码</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。以本公司的名义参加（招标人）</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组织的（项目名称）</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投标活动。授权代表在开标、评标、合同谈判过程中所签署的一切文件和处理与之有关的一切事务，我均予以承认。</w:t>
      </w:r>
    </w:p>
    <w:p w14:paraId="493A0A52">
      <w:pPr>
        <w:snapToGrid w:val="0"/>
        <w:spacing w:line="288" w:lineRule="auto"/>
        <w:ind w:firstLine="480"/>
        <w:jc w:val="left"/>
        <w:rPr>
          <w:rFonts w:ascii="仿宋" w:hAnsi="仿宋" w:eastAsia="仿宋" w:cs="仿宋"/>
          <w:color w:val="auto"/>
          <w:sz w:val="24"/>
          <w:highlight w:val="none"/>
        </w:rPr>
      </w:pPr>
      <w:r>
        <w:rPr>
          <w:rFonts w:ascii="仿宋" w:hAnsi="仿宋" w:eastAsia="仿宋" w:cs="仿宋"/>
          <w:color w:val="auto"/>
          <w:sz w:val="24"/>
          <w:highlight w:val="none"/>
        </w:rPr>
        <w:t>在撤销授权的书面通知以前，本授权书一直有效。全权代表在授权书有效期内签署的所有文件不因授权的撤销而失效。</w:t>
      </w:r>
    </w:p>
    <w:p w14:paraId="13354943">
      <w:pPr>
        <w:spacing w:line="288" w:lineRule="auto"/>
        <w:ind w:firstLine="480"/>
        <w:rPr>
          <w:rFonts w:ascii="仿宋" w:hAnsi="仿宋" w:eastAsia="仿宋" w:cs="仿宋"/>
          <w:color w:val="auto"/>
          <w:sz w:val="24"/>
          <w:highlight w:val="none"/>
        </w:rPr>
      </w:pPr>
      <w:r>
        <w:rPr>
          <w:rFonts w:ascii="仿宋" w:hAnsi="仿宋" w:eastAsia="仿宋" w:cs="仿宋"/>
          <w:color w:val="auto"/>
          <w:sz w:val="24"/>
          <w:highlight w:val="none"/>
        </w:rPr>
        <w:t>授权代表无转委托权。特此委托。</w:t>
      </w:r>
    </w:p>
    <w:p w14:paraId="3B7A6D33">
      <w:pPr>
        <w:snapToGrid w:val="0"/>
        <w:spacing w:line="288" w:lineRule="auto"/>
        <w:jc w:val="left"/>
        <w:rPr>
          <w:rFonts w:ascii="仿宋" w:hAnsi="仿宋" w:eastAsia="仿宋" w:cs="仿宋"/>
          <w:color w:val="auto"/>
          <w:sz w:val="24"/>
          <w:highlight w:val="none"/>
        </w:rPr>
      </w:pPr>
    </w:p>
    <w:p w14:paraId="013BB6A7">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授权代表姓名：              性别：               年龄：</w:t>
      </w:r>
    </w:p>
    <w:p w14:paraId="63BD53F6">
      <w:pPr>
        <w:spacing w:line="288" w:lineRule="auto"/>
        <w:rPr>
          <w:rFonts w:ascii="仿宋" w:hAnsi="仿宋" w:eastAsia="仿宋" w:cs="仿宋"/>
          <w:color w:val="auto"/>
          <w:sz w:val="24"/>
          <w:highlight w:val="none"/>
        </w:rPr>
      </w:pPr>
    </w:p>
    <w:p w14:paraId="252BFB9D">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单位：                      部门：               职务：</w:t>
      </w:r>
    </w:p>
    <w:p w14:paraId="6D0517FE">
      <w:pPr>
        <w:spacing w:line="288" w:lineRule="auto"/>
        <w:rPr>
          <w:rFonts w:ascii="仿宋" w:hAnsi="仿宋" w:eastAsia="仿宋" w:cs="仿宋"/>
          <w:color w:val="auto"/>
          <w:sz w:val="24"/>
          <w:highlight w:val="none"/>
        </w:rPr>
      </w:pPr>
    </w:p>
    <w:p w14:paraId="1F829260">
      <w:pPr>
        <w:widowControl/>
        <w:snapToGrid w:val="0"/>
        <w:spacing w:line="288" w:lineRule="auto"/>
        <w:rPr>
          <w:rFonts w:ascii="仿宋" w:hAnsi="仿宋" w:eastAsia="仿宋" w:cs="仿宋"/>
          <w:color w:val="auto"/>
          <w:sz w:val="24"/>
          <w:highlight w:val="none"/>
        </w:rPr>
      </w:pPr>
      <w:r>
        <w:rPr>
          <w:rFonts w:ascii="仿宋" w:hAnsi="仿宋" w:eastAsia="仿宋" w:cs="仿宋"/>
          <w:color w:val="auto"/>
          <w:kern w:val="0"/>
          <w:sz w:val="24"/>
          <w:highlight w:val="none"/>
        </w:rPr>
        <w:t>办公地址：                  联系电话：           传真：</w:t>
      </w:r>
    </w:p>
    <w:p w14:paraId="60C48BD9">
      <w:pPr>
        <w:spacing w:line="288" w:lineRule="auto"/>
        <w:rPr>
          <w:rFonts w:ascii="仿宋" w:hAnsi="仿宋" w:eastAsia="仿宋" w:cs="仿宋"/>
          <w:color w:val="auto"/>
          <w:sz w:val="24"/>
          <w:highlight w:val="none"/>
        </w:rPr>
      </w:pPr>
    </w:p>
    <w:p w14:paraId="0AD1D450">
      <w:pPr>
        <w:spacing w:line="288" w:lineRule="auto"/>
        <w:rPr>
          <w:rFonts w:ascii="仿宋" w:hAnsi="仿宋" w:eastAsia="仿宋" w:cs="仿宋"/>
          <w:color w:val="auto"/>
          <w:sz w:val="24"/>
          <w:highlight w:val="none"/>
        </w:rPr>
      </w:pPr>
    </w:p>
    <w:p w14:paraId="38C00DBD">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投标人名称（盖章）：</w:t>
      </w:r>
    </w:p>
    <w:p w14:paraId="27BB437C">
      <w:pPr>
        <w:spacing w:line="288" w:lineRule="auto"/>
        <w:rPr>
          <w:rFonts w:ascii="仿宋" w:hAnsi="仿宋" w:eastAsia="仿宋" w:cs="仿宋"/>
          <w:color w:val="auto"/>
          <w:sz w:val="24"/>
          <w:highlight w:val="none"/>
        </w:rPr>
      </w:pPr>
    </w:p>
    <w:p w14:paraId="5FFFF533">
      <w:pPr>
        <w:spacing w:line="288" w:lineRule="auto"/>
        <w:rPr>
          <w:rFonts w:ascii="仿宋" w:hAnsi="仿宋" w:eastAsia="仿宋" w:cs="仿宋"/>
          <w:color w:val="auto"/>
          <w:sz w:val="24"/>
          <w:highlight w:val="none"/>
        </w:rPr>
      </w:pPr>
    </w:p>
    <w:p w14:paraId="1031B7DA">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法定代表人（签字或盖章）：</w:t>
      </w:r>
    </w:p>
    <w:p w14:paraId="0AA82227">
      <w:pPr>
        <w:spacing w:line="288" w:lineRule="auto"/>
        <w:rPr>
          <w:rFonts w:ascii="仿宋" w:hAnsi="仿宋" w:eastAsia="仿宋" w:cs="仿宋"/>
          <w:color w:val="auto"/>
          <w:sz w:val="24"/>
          <w:highlight w:val="none"/>
        </w:rPr>
      </w:pPr>
    </w:p>
    <w:p w14:paraId="3D91A510">
      <w:pPr>
        <w:spacing w:line="288" w:lineRule="auto"/>
        <w:rPr>
          <w:rFonts w:ascii="仿宋" w:hAnsi="仿宋" w:eastAsia="仿宋" w:cs="仿宋"/>
          <w:color w:val="auto"/>
          <w:sz w:val="24"/>
          <w:highlight w:val="none"/>
        </w:rPr>
      </w:pPr>
    </w:p>
    <w:p w14:paraId="65067E0C">
      <w:pPr>
        <w:spacing w:line="288" w:lineRule="auto"/>
        <w:ind w:firstLine="5280"/>
        <w:jc w:val="left"/>
        <w:rPr>
          <w:rFonts w:ascii="仿宋" w:hAnsi="仿宋" w:eastAsia="仿宋" w:cs="仿宋"/>
          <w:color w:val="auto"/>
          <w:sz w:val="24"/>
          <w:highlight w:val="none"/>
        </w:rPr>
      </w:pPr>
      <w:r>
        <w:rPr>
          <w:rFonts w:ascii="仿宋" w:hAnsi="仿宋" w:eastAsia="仿宋" w:cs="仿宋"/>
          <w:color w:val="auto"/>
          <w:sz w:val="24"/>
          <w:highlight w:val="none"/>
        </w:rPr>
        <w:t>日期：    年   月   日</w:t>
      </w:r>
    </w:p>
    <w:p w14:paraId="77AC5A3B">
      <w:pPr>
        <w:spacing w:line="288" w:lineRule="auto"/>
        <w:ind w:firstLine="4920"/>
        <w:jc w:val="left"/>
        <w:rPr>
          <w:rFonts w:ascii="仿宋" w:hAnsi="仿宋" w:eastAsia="仿宋" w:cs="仿宋"/>
          <w:color w:val="auto"/>
          <w:sz w:val="24"/>
          <w:highlight w:val="none"/>
        </w:rPr>
      </w:pPr>
    </w:p>
    <w:p w14:paraId="2654BEE1">
      <w:pPr>
        <w:spacing w:line="288" w:lineRule="auto"/>
        <w:rPr>
          <w:rFonts w:ascii="仿宋" w:hAnsi="仿宋" w:eastAsia="仿宋" w:cs="仿宋"/>
          <w:b/>
          <w:color w:val="auto"/>
          <w:sz w:val="24"/>
          <w:highlight w:val="none"/>
        </w:rPr>
      </w:pPr>
    </w:p>
    <w:p w14:paraId="5FFC7886">
      <w:pPr>
        <w:spacing w:line="288" w:lineRule="auto"/>
        <w:rPr>
          <w:rFonts w:ascii="仿宋" w:hAnsi="仿宋" w:eastAsia="仿宋" w:cs="仿宋"/>
          <w:b/>
          <w:color w:val="auto"/>
          <w:sz w:val="24"/>
          <w:highlight w:val="none"/>
        </w:rPr>
      </w:pPr>
    </w:p>
    <w:p w14:paraId="1FD60ABB">
      <w:pPr>
        <w:spacing w:line="288" w:lineRule="auto"/>
        <w:rPr>
          <w:rFonts w:ascii="仿宋" w:hAnsi="仿宋" w:eastAsia="仿宋" w:cs="仿宋"/>
          <w:b/>
          <w:color w:val="auto"/>
          <w:sz w:val="30"/>
          <w:szCs w:val="30"/>
          <w:highlight w:val="none"/>
        </w:rPr>
      </w:pPr>
    </w:p>
    <w:p w14:paraId="798987FF">
      <w:pPr>
        <w:spacing w:line="288" w:lineRule="auto"/>
        <w:rPr>
          <w:rFonts w:ascii="仿宋" w:hAnsi="仿宋" w:eastAsia="仿宋" w:cs="仿宋"/>
          <w:b/>
          <w:color w:val="auto"/>
          <w:sz w:val="30"/>
          <w:szCs w:val="30"/>
          <w:highlight w:val="none"/>
        </w:rPr>
      </w:pPr>
    </w:p>
    <w:p w14:paraId="5FB02055">
      <w:pPr>
        <w:spacing w:line="288" w:lineRule="auto"/>
        <w:rPr>
          <w:rFonts w:ascii="仿宋" w:hAnsi="仿宋" w:eastAsia="仿宋" w:cs="仿宋"/>
          <w:b/>
          <w:color w:val="auto"/>
          <w:sz w:val="30"/>
          <w:szCs w:val="30"/>
          <w:highlight w:val="none"/>
        </w:rPr>
      </w:pPr>
    </w:p>
    <w:p w14:paraId="53417A5B">
      <w:pPr>
        <w:spacing w:line="288" w:lineRule="auto"/>
        <w:rPr>
          <w:rFonts w:ascii="仿宋" w:hAnsi="仿宋" w:eastAsia="仿宋" w:cs="仿宋"/>
          <w:b/>
          <w:color w:val="auto"/>
          <w:sz w:val="30"/>
          <w:szCs w:val="30"/>
          <w:highlight w:val="none"/>
        </w:rPr>
      </w:pPr>
    </w:p>
    <w:p w14:paraId="18D4A8CC">
      <w:pPr>
        <w:spacing w:line="288" w:lineRule="auto"/>
        <w:rPr>
          <w:rFonts w:ascii="仿宋" w:hAnsi="仿宋" w:eastAsia="仿宋" w:cs="仿宋"/>
          <w:b/>
          <w:color w:val="auto"/>
          <w:sz w:val="30"/>
          <w:szCs w:val="30"/>
          <w:highlight w:val="none"/>
        </w:rPr>
      </w:pPr>
    </w:p>
    <w:p w14:paraId="42578610">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rPr>
        <w:t>2、法定代表人及其授权代表身份证复印件（正反面）</w:t>
      </w:r>
    </w:p>
    <w:p w14:paraId="60F30C16">
      <w:pPr>
        <w:spacing w:line="288" w:lineRule="auto"/>
        <w:rPr>
          <w:rFonts w:ascii="仿宋" w:hAnsi="仿宋" w:eastAsia="仿宋" w:cs="仿宋"/>
          <w:b/>
          <w:color w:val="auto"/>
          <w:sz w:val="24"/>
          <w:szCs w:val="30"/>
          <w:highlight w:val="none"/>
        </w:rPr>
      </w:pPr>
    </w:p>
    <w:p w14:paraId="177E4ED4">
      <w:pPr>
        <w:spacing w:line="288" w:lineRule="auto"/>
        <w:rPr>
          <w:rFonts w:ascii="仿宋" w:hAnsi="仿宋" w:eastAsia="仿宋" w:cs="仿宋"/>
          <w:b/>
          <w:color w:val="auto"/>
          <w:sz w:val="30"/>
          <w:szCs w:val="30"/>
          <w:highlight w:val="none"/>
        </w:rPr>
      </w:pPr>
    </w:p>
    <w:p w14:paraId="08CBF614">
      <w:pPr>
        <w:pStyle w:val="12"/>
        <w:rPr>
          <w:rFonts w:ascii="仿宋" w:hAnsi="仿宋" w:eastAsia="仿宋" w:cs="仿宋"/>
          <w:b/>
          <w:color w:val="auto"/>
          <w:sz w:val="30"/>
          <w:szCs w:val="30"/>
          <w:highlight w:val="none"/>
        </w:rPr>
      </w:pPr>
    </w:p>
    <w:p w14:paraId="54AB0A08">
      <w:pPr>
        <w:rPr>
          <w:rFonts w:ascii="仿宋" w:hAnsi="仿宋" w:eastAsia="仿宋" w:cs="仿宋"/>
          <w:b/>
          <w:color w:val="auto"/>
          <w:sz w:val="30"/>
          <w:szCs w:val="30"/>
          <w:highlight w:val="none"/>
        </w:rPr>
      </w:pPr>
    </w:p>
    <w:p w14:paraId="66FDA945">
      <w:pPr>
        <w:pStyle w:val="12"/>
        <w:rPr>
          <w:rFonts w:ascii="仿宋" w:hAnsi="仿宋" w:eastAsia="仿宋" w:cs="仿宋"/>
          <w:b/>
          <w:color w:val="auto"/>
          <w:sz w:val="30"/>
          <w:szCs w:val="30"/>
          <w:highlight w:val="none"/>
        </w:rPr>
      </w:pPr>
    </w:p>
    <w:p w14:paraId="337A46F3">
      <w:pPr>
        <w:rPr>
          <w:rFonts w:ascii="仿宋" w:hAnsi="仿宋" w:eastAsia="仿宋" w:cs="仿宋"/>
          <w:b/>
          <w:color w:val="auto"/>
          <w:sz w:val="30"/>
          <w:szCs w:val="30"/>
          <w:highlight w:val="none"/>
        </w:rPr>
      </w:pPr>
    </w:p>
    <w:p w14:paraId="556D6E30">
      <w:pPr>
        <w:pStyle w:val="12"/>
        <w:rPr>
          <w:rFonts w:ascii="仿宋" w:hAnsi="仿宋" w:eastAsia="仿宋" w:cs="仿宋"/>
          <w:b/>
          <w:color w:val="auto"/>
          <w:sz w:val="30"/>
          <w:szCs w:val="30"/>
          <w:highlight w:val="none"/>
        </w:rPr>
      </w:pPr>
    </w:p>
    <w:p w14:paraId="4ADCF640">
      <w:pPr>
        <w:rPr>
          <w:rFonts w:ascii="仿宋" w:hAnsi="仿宋" w:eastAsia="仿宋" w:cs="仿宋"/>
          <w:b/>
          <w:color w:val="auto"/>
          <w:sz w:val="30"/>
          <w:szCs w:val="30"/>
          <w:highlight w:val="none"/>
        </w:rPr>
      </w:pPr>
    </w:p>
    <w:p w14:paraId="114E8485">
      <w:pPr>
        <w:pStyle w:val="12"/>
        <w:rPr>
          <w:rFonts w:ascii="仿宋" w:hAnsi="仿宋" w:eastAsia="仿宋" w:cs="仿宋"/>
          <w:b/>
          <w:color w:val="auto"/>
          <w:sz w:val="30"/>
          <w:szCs w:val="30"/>
          <w:highlight w:val="none"/>
        </w:rPr>
      </w:pPr>
    </w:p>
    <w:p w14:paraId="2B66990C">
      <w:pPr>
        <w:rPr>
          <w:rFonts w:ascii="仿宋" w:hAnsi="仿宋" w:eastAsia="仿宋" w:cs="仿宋"/>
          <w:b/>
          <w:color w:val="auto"/>
          <w:sz w:val="30"/>
          <w:szCs w:val="30"/>
          <w:highlight w:val="none"/>
        </w:rPr>
      </w:pPr>
    </w:p>
    <w:p w14:paraId="7FF6599A">
      <w:pPr>
        <w:spacing w:line="288" w:lineRule="auto"/>
        <w:rPr>
          <w:rFonts w:ascii="仿宋" w:hAnsi="仿宋" w:eastAsia="仿宋" w:cs="仿宋"/>
          <w:b/>
          <w:color w:val="auto"/>
          <w:sz w:val="30"/>
          <w:szCs w:val="30"/>
          <w:highlight w:val="none"/>
        </w:rPr>
      </w:pPr>
    </w:p>
    <w:p w14:paraId="1EBCBFE0">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rPr>
        <w:t>3、法定代表人身份证明书(格式)</w:t>
      </w:r>
    </w:p>
    <w:p w14:paraId="2FB5AD1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 标 人：</w:t>
      </w:r>
    </w:p>
    <w:p w14:paraId="486BDD58">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地    址：</w:t>
      </w:r>
    </w:p>
    <w:p w14:paraId="15298E77">
      <w:pPr>
        <w:spacing w:line="288" w:lineRule="auto"/>
        <w:ind w:right="281" w:firstLine="0"/>
        <w:rPr>
          <w:rFonts w:ascii="仿宋" w:hAnsi="仿宋" w:eastAsia="仿宋" w:cs="仿宋"/>
          <w:color w:val="auto"/>
          <w:sz w:val="24"/>
          <w:highlight w:val="none"/>
          <w:u w:val="single"/>
        </w:rPr>
      </w:pPr>
      <w:r>
        <w:rPr>
          <w:rFonts w:ascii="仿宋" w:hAnsi="仿宋" w:eastAsia="仿宋" w:cs="仿宋"/>
          <w:color w:val="auto"/>
          <w:sz w:val="24"/>
          <w:highlight w:val="none"/>
        </w:rPr>
        <w:t>姓    名：</w:t>
      </w:r>
    </w:p>
    <w:p w14:paraId="22D11971">
      <w:pPr>
        <w:spacing w:line="288" w:lineRule="auto"/>
        <w:ind w:right="281" w:firstLine="0"/>
        <w:rPr>
          <w:rFonts w:ascii="仿宋" w:hAnsi="仿宋" w:eastAsia="仿宋" w:cs="仿宋"/>
          <w:color w:val="auto"/>
          <w:sz w:val="24"/>
          <w:highlight w:val="none"/>
          <w:u w:val="single"/>
        </w:rPr>
      </w:pPr>
      <w:r>
        <w:rPr>
          <w:rFonts w:ascii="仿宋" w:hAnsi="仿宋" w:eastAsia="仿宋" w:cs="仿宋"/>
          <w:color w:val="auto"/>
          <w:sz w:val="24"/>
          <w:highlight w:val="none"/>
        </w:rPr>
        <w:t>身份证号码：</w:t>
      </w:r>
    </w:p>
    <w:p w14:paraId="72F2744C">
      <w:pPr>
        <w:spacing w:line="288" w:lineRule="auto"/>
        <w:ind w:right="281" w:firstLine="0"/>
        <w:rPr>
          <w:rFonts w:ascii="仿宋" w:hAnsi="仿宋" w:eastAsia="仿宋" w:cs="仿宋"/>
          <w:color w:val="auto"/>
          <w:sz w:val="24"/>
          <w:highlight w:val="none"/>
        </w:rPr>
      </w:pPr>
      <w:r>
        <w:rPr>
          <w:rFonts w:ascii="仿宋" w:hAnsi="仿宋" w:eastAsia="仿宋" w:cs="仿宋"/>
          <w:color w:val="auto"/>
          <w:sz w:val="24"/>
          <w:highlight w:val="none"/>
        </w:rPr>
        <w:t>职   务：</w:t>
      </w:r>
    </w:p>
    <w:p w14:paraId="1349766B">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系（投标人名称）的法定代表人。</w:t>
      </w:r>
    </w:p>
    <w:p w14:paraId="6DE8F95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特此证明。</w:t>
      </w:r>
    </w:p>
    <w:p w14:paraId="473EDDAD">
      <w:pPr>
        <w:spacing w:line="288" w:lineRule="auto"/>
        <w:rPr>
          <w:rFonts w:ascii="仿宋" w:hAnsi="仿宋" w:eastAsia="仿宋" w:cs="仿宋"/>
          <w:color w:val="auto"/>
          <w:sz w:val="24"/>
          <w:highlight w:val="none"/>
        </w:rPr>
      </w:pPr>
    </w:p>
    <w:p w14:paraId="33EBCC3B">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投标人：                             （盖章）</w:t>
      </w:r>
    </w:p>
    <w:p w14:paraId="4ADD4AA3">
      <w:pPr>
        <w:spacing w:line="288" w:lineRule="auto"/>
        <w:ind w:right="480" w:firstLine="0"/>
        <w:rPr>
          <w:rFonts w:ascii="仿宋" w:hAnsi="仿宋" w:eastAsia="仿宋" w:cs="仿宋"/>
          <w:color w:val="auto"/>
          <w:sz w:val="24"/>
          <w:highlight w:val="none"/>
        </w:rPr>
      </w:pPr>
    </w:p>
    <w:p w14:paraId="7682EB48">
      <w:pPr>
        <w:spacing w:line="288" w:lineRule="auto"/>
        <w:ind w:right="720" w:firstLine="0"/>
        <w:jc w:val="right"/>
        <w:rPr>
          <w:rFonts w:ascii="仿宋" w:hAnsi="仿宋" w:eastAsia="仿宋" w:cs="仿宋"/>
          <w:color w:val="auto"/>
          <w:sz w:val="24"/>
          <w:highlight w:val="none"/>
        </w:rPr>
      </w:pPr>
      <w:r>
        <w:rPr>
          <w:rFonts w:ascii="仿宋" w:hAnsi="仿宋" w:eastAsia="仿宋" w:cs="仿宋"/>
          <w:color w:val="auto"/>
          <w:sz w:val="24"/>
          <w:highlight w:val="none"/>
        </w:rPr>
        <w:t>日期：    年   月   日</w:t>
      </w:r>
    </w:p>
    <w:p w14:paraId="73F90723">
      <w:pPr>
        <w:spacing w:line="288" w:lineRule="auto"/>
        <w:rPr>
          <w:rFonts w:ascii="仿宋" w:hAnsi="仿宋" w:eastAsia="仿宋" w:cs="仿宋"/>
          <w:b/>
          <w:color w:val="auto"/>
          <w:sz w:val="30"/>
          <w:szCs w:val="30"/>
          <w:highlight w:val="none"/>
        </w:rPr>
      </w:pPr>
      <w:r>
        <w:rPr>
          <w:color w:val="auto"/>
          <w:highlight w:val="none"/>
        </w:rPr>
        <w:br w:type="page"/>
      </w:r>
    </w:p>
    <w:p w14:paraId="2AE6CE6B">
      <w:pPr>
        <w:spacing w:before="0" w:after="240"/>
        <w:rPr>
          <w:rFonts w:ascii="仿宋_GB2312;仿宋" w:hAnsi="仿宋_GB2312;仿宋" w:eastAsia="仿宋_GB2312;仿宋" w:cs="仿宋_GB2312;仿宋"/>
          <w:b/>
          <w:color w:val="auto"/>
          <w:kern w:val="0"/>
          <w:sz w:val="32"/>
          <w:szCs w:val="32"/>
          <w:highlight w:val="none"/>
        </w:rPr>
      </w:pPr>
      <w:r>
        <w:rPr>
          <w:rFonts w:ascii="仿宋_GB2312;仿宋" w:hAnsi="仿宋_GB2312;仿宋" w:eastAsia="仿宋_GB2312;仿宋" w:cs="宋体"/>
          <w:b/>
          <w:color w:val="auto"/>
          <w:sz w:val="30"/>
          <w:szCs w:val="30"/>
          <w:highlight w:val="none"/>
          <w:lang w:val="en-US" w:eastAsia="zh-CN"/>
        </w:rPr>
        <w:t>4</w:t>
      </w:r>
      <w:r>
        <w:rPr>
          <w:rFonts w:ascii="仿宋_GB2312;仿宋" w:hAnsi="仿宋_GB2312;仿宋" w:eastAsia="仿宋_GB2312;仿宋" w:cs="宋体"/>
          <w:b/>
          <w:color w:val="auto"/>
          <w:sz w:val="30"/>
          <w:szCs w:val="30"/>
          <w:highlight w:val="none"/>
        </w:rPr>
        <w:t>、资格审查有关的书面承诺函</w:t>
      </w:r>
    </w:p>
    <w:p w14:paraId="2EFD3718">
      <w:pPr>
        <w:snapToGrid w:val="0"/>
        <w:spacing w:line="440" w:lineRule="exact"/>
        <w:rPr>
          <w:rFonts w:ascii="仿宋" w:hAnsi="仿宋" w:eastAsia="仿宋" w:cs="仿宋_GB2312;仿宋"/>
          <w:color w:val="auto"/>
          <w:sz w:val="24"/>
          <w:highlight w:val="none"/>
        </w:rPr>
      </w:pPr>
      <w:r>
        <w:rPr>
          <w:rFonts w:ascii="仿宋_GB2312;仿宋" w:hAnsi="仿宋_GB2312;仿宋" w:eastAsia="仿宋_GB2312;仿宋" w:cs="仿宋_GB2312;仿宋"/>
          <w:color w:val="auto"/>
          <w:sz w:val="24"/>
          <w:highlight w:val="none"/>
          <w:lang w:eastAsia="zh-CN"/>
        </w:rPr>
        <w:t>（</w:t>
      </w:r>
      <w:r>
        <w:rPr>
          <w:rFonts w:ascii="仿宋_GB2312;仿宋" w:hAnsi="仿宋_GB2312;仿宋" w:eastAsia="仿宋_GB2312;仿宋" w:cs="仿宋_GB2312;仿宋"/>
          <w:color w:val="auto"/>
          <w:sz w:val="24"/>
          <w:highlight w:val="none"/>
          <w:lang w:val="en-US" w:eastAsia="zh-CN"/>
        </w:rPr>
        <w:t>招标人</w:t>
      </w:r>
      <w:r>
        <w:rPr>
          <w:rFonts w:ascii="仿宋_GB2312;仿宋" w:hAnsi="仿宋_GB2312;仿宋" w:eastAsia="仿宋_GB2312;仿宋" w:cs="仿宋_GB2312;仿宋"/>
          <w:color w:val="auto"/>
          <w:sz w:val="24"/>
          <w:highlight w:val="none"/>
          <w:lang w:eastAsia="zh-CN"/>
        </w:rPr>
        <w:t>）</w:t>
      </w:r>
      <w:r>
        <w:rPr>
          <w:rFonts w:ascii="仿宋_GB2312;仿宋" w:hAnsi="仿宋_GB2312;仿宋" w:eastAsia="仿宋_GB2312;仿宋" w:cs="仿宋_GB2312;仿宋"/>
          <w:color w:val="auto"/>
          <w:kern w:val="0"/>
          <w:sz w:val="24"/>
          <w:highlight w:val="none"/>
          <w:lang w:val="zh-CN"/>
        </w:rPr>
        <w:t>：</w:t>
      </w:r>
    </w:p>
    <w:p w14:paraId="4BCDE400">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我方郑重承诺，已具有</w:t>
      </w:r>
      <w:r>
        <w:rPr>
          <w:rFonts w:ascii="仿宋_GB2312;仿宋" w:hAnsi="仿宋_GB2312;仿宋" w:eastAsia="仿宋_GB2312;仿宋" w:cs="仿宋_GB2312;仿宋"/>
          <w:color w:val="auto"/>
          <w:sz w:val="24"/>
          <w:highlight w:val="none"/>
          <w:lang w:eastAsia="zh-CN"/>
        </w:rPr>
        <w:t>绍兴市第七人民医院智慧消防项目</w:t>
      </w:r>
      <w:r>
        <w:rPr>
          <w:rFonts w:ascii="仿宋_GB2312;仿宋" w:hAnsi="仿宋_GB2312;仿宋" w:eastAsia="仿宋_GB2312;仿宋" w:cs="仿宋_GB2312;仿宋"/>
          <w:color w:val="auto"/>
          <w:sz w:val="24"/>
          <w:highlight w:val="none"/>
        </w:rPr>
        <w:t>（招标编号:</w:t>
      </w:r>
      <w:r>
        <w:rPr>
          <w:rFonts w:ascii="仿宋_GB2312;仿宋" w:hAnsi="仿宋_GB2312;仿宋" w:eastAsia="仿宋_GB2312;仿宋" w:cs="仿宋_GB2312;仿宋"/>
          <w:color w:val="auto"/>
          <w:sz w:val="24"/>
          <w:highlight w:val="none"/>
          <w:lang w:val="en-US" w:eastAsia="zh-CN"/>
        </w:rPr>
        <w:t xml:space="preserve">   </w:t>
      </w:r>
      <w:r>
        <w:rPr>
          <w:rFonts w:ascii="仿宋_GB2312;仿宋" w:hAnsi="仿宋_GB2312;仿宋" w:eastAsia="仿宋_GB2312;仿宋" w:cs="仿宋_GB2312;仿宋"/>
          <w:color w:val="auto"/>
          <w:sz w:val="24"/>
          <w:highlight w:val="none"/>
        </w:rPr>
        <w:t>）招标文件中关于申请人资格要求的下列条件：</w:t>
      </w:r>
    </w:p>
    <w:p w14:paraId="153AB976">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1、符合《中华人民共和国政府采购法》第二十二条的规定：</w:t>
      </w:r>
    </w:p>
    <w:p w14:paraId="67347075">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 xml:space="preserve">(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 </w:t>
      </w:r>
    </w:p>
    <w:p w14:paraId="4564F187">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(二）具有良好的商业信誉和健全的财务会计制度;</w:t>
      </w:r>
    </w:p>
    <w:p w14:paraId="1B99A8C1">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(三）具有履行合同所必需的设备和专业技术能力;</w:t>
      </w:r>
    </w:p>
    <w:p w14:paraId="217F1470">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(四）有依法缴纳税收和社会保障资金的良好记录;</w:t>
      </w:r>
    </w:p>
    <w:p w14:paraId="5432D62E">
      <w:pPr>
        <w:snapToGrid w:val="0"/>
        <w:spacing w:line="440" w:lineRule="exact"/>
        <w:ind w:firstLine="480"/>
        <w:rPr>
          <w:rFonts w:ascii="仿宋_GB2312;仿宋" w:hAnsi="仿宋_GB2312;仿宋" w:eastAsia="仿宋_GB2312;仿宋" w:cs="仿宋_GB2312;仿宋"/>
          <w:color w:val="auto"/>
          <w:kern w:val="0"/>
          <w:sz w:val="24"/>
          <w:highlight w:val="none"/>
        </w:rPr>
      </w:pPr>
      <w:r>
        <w:rPr>
          <w:rFonts w:ascii="仿宋_GB2312;仿宋" w:hAnsi="仿宋_GB2312;仿宋" w:eastAsia="仿宋_GB2312;仿宋" w:cs="仿宋_GB2312;仿宋"/>
          <w:color w:val="auto"/>
          <w:sz w:val="24"/>
          <w:highlight w:val="none"/>
        </w:rPr>
        <w:t>(五）参加政府采购活动前三年内，在经营活动中没有重大违法记录;</w:t>
      </w:r>
    </w:p>
    <w:p w14:paraId="503B5157">
      <w:pPr>
        <w:spacing w:line="440" w:lineRule="exact"/>
        <w:ind w:firstLine="480"/>
        <w:rPr>
          <w:rFonts w:ascii="仿宋_GB2312;仿宋" w:hAnsi="仿宋_GB2312;仿宋" w:eastAsia="仿宋_GB2312;仿宋" w:cs="仿宋_GB2312;仿宋"/>
          <w:color w:val="auto"/>
          <w:sz w:val="24"/>
          <w:szCs w:val="20"/>
          <w:highlight w:val="none"/>
        </w:rPr>
      </w:pPr>
      <w:r>
        <w:rPr>
          <w:rFonts w:ascii="仿宋_GB2312;仿宋" w:hAnsi="仿宋_GB2312;仿宋" w:eastAsia="仿宋_GB2312;仿宋" w:cs="仿宋_GB2312;仿宋"/>
          <w:color w:val="auto"/>
          <w:kern w:val="0"/>
          <w:sz w:val="24"/>
          <w:highlight w:val="none"/>
        </w:rPr>
        <w:t>2、</w:t>
      </w:r>
      <w:r>
        <w:rPr>
          <w:rFonts w:ascii="仿宋_GB2312;仿宋" w:hAnsi="仿宋_GB2312;仿宋" w:eastAsia="仿宋_GB2312;仿宋" w:cs="仿宋_GB2312;仿宋"/>
          <w:color w:val="auto"/>
          <w:kern w:val="0"/>
          <w:sz w:val="24"/>
          <w:highlight w:val="none"/>
          <w:lang w:val="zh-CN"/>
        </w:rPr>
        <w:t>我公司</w:t>
      </w:r>
      <w:r>
        <w:rPr>
          <w:rFonts w:ascii="仿宋_GB2312;仿宋" w:hAnsi="仿宋_GB2312;仿宋" w:eastAsia="仿宋_GB2312;仿宋" w:cs="仿宋_GB2312;仿宋"/>
          <w:color w:val="auto"/>
          <w:sz w:val="24"/>
          <w:highlight w:val="none"/>
        </w:rPr>
        <w:t>声明参加本次政府采购活动前三年内未</w:t>
      </w:r>
      <w:r>
        <w:rPr>
          <w:rFonts w:ascii="仿宋_GB2312;仿宋" w:hAnsi="仿宋_GB2312;仿宋" w:eastAsia="仿宋_GB2312;仿宋" w:cs="仿宋_GB2312;仿宋"/>
          <w:color w:val="auto"/>
          <w:sz w:val="24"/>
          <w:szCs w:val="20"/>
          <w:highlight w:val="none"/>
        </w:rPr>
        <w:t>被列入“黑名单”</w:t>
      </w: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color w:val="auto"/>
          <w:sz w:val="24"/>
          <w:szCs w:val="20"/>
          <w:highlight w:val="none"/>
        </w:rPr>
        <w:t>我方通过“信用中国”网站（www.creditchina.gov.cn）、中国政府采购网（www.ccgp.gov.cn）查询，未被列入失信被执行人、</w:t>
      </w:r>
      <w:r>
        <w:rPr>
          <w:rFonts w:ascii="仿宋_GB2312;仿宋" w:hAnsi="仿宋_GB2312;仿宋" w:eastAsia="仿宋_GB2312;仿宋" w:cs="仿宋_GB2312;仿宋"/>
          <w:color w:val="auto"/>
          <w:sz w:val="24"/>
          <w:szCs w:val="20"/>
          <w:highlight w:val="none"/>
          <w:lang w:eastAsia="zh-CN"/>
        </w:rPr>
        <w:t>重大税收违法失信主体</w:t>
      </w:r>
      <w:r>
        <w:rPr>
          <w:rFonts w:ascii="仿宋_GB2312;仿宋" w:hAnsi="仿宋_GB2312;仿宋" w:eastAsia="仿宋_GB2312;仿宋" w:cs="仿宋_GB2312;仿宋"/>
          <w:color w:val="auto"/>
          <w:sz w:val="24"/>
          <w:szCs w:val="20"/>
          <w:highlight w:val="none"/>
        </w:rPr>
        <w:t>、政府采购严重违法失信行为记录名单。</w:t>
      </w:r>
    </w:p>
    <w:p w14:paraId="525C2D68">
      <w:pPr>
        <w:spacing w:line="360" w:lineRule="auto"/>
        <w:ind w:firstLine="480"/>
        <w:rPr>
          <w:rFonts w:ascii="仿宋_GB2312;仿宋" w:hAnsi="仿宋_GB2312;仿宋" w:eastAsia="仿宋_GB2312;仿宋" w:cs="仿宋_GB2312;仿宋"/>
          <w:color w:val="auto"/>
          <w:sz w:val="24"/>
          <w:szCs w:val="20"/>
          <w:highlight w:val="none"/>
        </w:rPr>
      </w:pPr>
    </w:p>
    <w:p w14:paraId="6D7AD009">
      <w:pPr>
        <w:spacing w:line="360" w:lineRule="auto"/>
        <w:ind w:firstLine="480"/>
        <w:rPr>
          <w:rFonts w:ascii="仿宋_GB2312;仿宋" w:hAnsi="仿宋_GB2312;仿宋" w:eastAsia="仿宋_GB2312;仿宋" w:cs="仿宋_GB2312;仿宋"/>
          <w:color w:val="auto"/>
          <w:sz w:val="24"/>
          <w:szCs w:val="20"/>
          <w:highlight w:val="none"/>
        </w:rPr>
      </w:pPr>
    </w:p>
    <w:p w14:paraId="1F4DB306">
      <w:pPr>
        <w:spacing w:line="360" w:lineRule="auto"/>
        <w:ind w:firstLine="480"/>
        <w:rPr>
          <w:rFonts w:ascii="仿宋_GB2312;仿宋" w:hAnsi="仿宋_GB2312;仿宋" w:eastAsia="仿宋_GB2312;仿宋" w:cs="仿宋_GB2312;仿宋"/>
          <w:color w:val="auto"/>
          <w:sz w:val="24"/>
          <w:szCs w:val="20"/>
          <w:highlight w:val="none"/>
        </w:rPr>
      </w:pPr>
    </w:p>
    <w:p w14:paraId="5542DD6C">
      <w:pPr>
        <w:spacing w:line="360" w:lineRule="auto"/>
        <w:ind w:firstLine="480"/>
        <w:rPr>
          <w:rFonts w:ascii="仿宋_GB2312;仿宋" w:hAnsi="仿宋_GB2312;仿宋" w:eastAsia="仿宋_GB2312;仿宋" w:cs="仿宋_GB2312;仿宋"/>
          <w:color w:val="auto"/>
          <w:sz w:val="24"/>
          <w:szCs w:val="20"/>
          <w:highlight w:val="none"/>
        </w:rPr>
      </w:pPr>
    </w:p>
    <w:p w14:paraId="31A1FC92">
      <w:pPr>
        <w:spacing w:line="360" w:lineRule="auto"/>
        <w:ind w:firstLine="480"/>
        <w:rPr>
          <w:rFonts w:ascii="仿宋_GB2312;仿宋" w:hAnsi="仿宋_GB2312;仿宋" w:eastAsia="仿宋_GB2312;仿宋" w:cs="仿宋_GB2312;仿宋"/>
          <w:color w:val="auto"/>
          <w:sz w:val="24"/>
          <w:szCs w:val="20"/>
          <w:highlight w:val="none"/>
        </w:rPr>
      </w:pPr>
    </w:p>
    <w:p w14:paraId="56300AEC">
      <w:pPr>
        <w:spacing w:line="360" w:lineRule="auto"/>
        <w:ind w:firstLine="480"/>
        <w:rPr>
          <w:rFonts w:ascii="仿宋_GB2312;仿宋" w:hAnsi="仿宋_GB2312;仿宋" w:eastAsia="仿宋_GB2312;仿宋" w:cs="仿宋_GB2312;仿宋"/>
          <w:color w:val="auto"/>
          <w:sz w:val="24"/>
          <w:szCs w:val="20"/>
          <w:highlight w:val="none"/>
        </w:rPr>
      </w:pPr>
    </w:p>
    <w:p w14:paraId="2C64EFC5">
      <w:pPr>
        <w:spacing w:line="360" w:lineRule="auto"/>
        <w:ind w:firstLine="480"/>
        <w:rPr>
          <w:rFonts w:ascii="仿宋_GB2312;仿宋" w:hAnsi="仿宋_GB2312;仿宋" w:eastAsia="仿宋_GB2312;仿宋" w:cs="仿宋_GB2312;仿宋"/>
          <w:color w:val="auto"/>
          <w:sz w:val="24"/>
          <w:szCs w:val="20"/>
          <w:highlight w:val="none"/>
        </w:rPr>
      </w:pPr>
    </w:p>
    <w:p w14:paraId="74971482">
      <w:pPr>
        <w:snapToGrid w:val="0"/>
        <w:spacing w:line="360" w:lineRule="auto"/>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投标人 (</w:t>
      </w:r>
      <w:r>
        <w:rPr>
          <w:rFonts w:ascii="仿宋" w:hAnsi="仿宋" w:eastAsia="仿宋" w:cs="仿宋"/>
          <w:color w:val="auto"/>
          <w:sz w:val="24"/>
          <w:highlight w:val="none"/>
        </w:rPr>
        <w:t>盖章</w:t>
      </w:r>
      <w:r>
        <w:rPr>
          <w:rFonts w:ascii="仿宋_GB2312;仿宋" w:hAnsi="仿宋_GB2312;仿宋" w:eastAsia="仿宋_GB2312;仿宋" w:cs="仿宋_GB2312;仿宋"/>
          <w:color w:val="auto"/>
          <w:kern w:val="0"/>
          <w:sz w:val="24"/>
          <w:highlight w:val="none"/>
          <w:lang w:val="zh-CN"/>
        </w:rPr>
        <w:t>)：</w:t>
      </w:r>
    </w:p>
    <w:p w14:paraId="001E7C10">
      <w:pPr>
        <w:snapToGrid w:val="0"/>
        <w:spacing w:line="360" w:lineRule="auto"/>
        <w:rPr>
          <w:rFonts w:ascii="仿宋_GB2312;仿宋" w:hAnsi="仿宋_GB2312;仿宋" w:eastAsia="仿宋_GB2312;仿宋" w:cs="仿宋_GB2312;仿宋"/>
          <w:color w:val="auto"/>
          <w:kern w:val="0"/>
          <w:sz w:val="24"/>
          <w:highlight w:val="none"/>
        </w:rPr>
      </w:pPr>
      <w:r>
        <w:rPr>
          <w:rFonts w:ascii="仿宋_GB2312;仿宋" w:hAnsi="仿宋_GB2312;仿宋" w:eastAsia="仿宋_GB2312;仿宋" w:cs="仿宋_GB2312;仿宋"/>
          <w:color w:val="auto"/>
          <w:kern w:val="0"/>
          <w:sz w:val="24"/>
          <w:highlight w:val="none"/>
          <w:lang w:val="zh-CN"/>
        </w:rPr>
        <w:t xml:space="preserve">                                  法定代表人或其授权代表(签字或盖章)：</w:t>
      </w:r>
    </w:p>
    <w:p w14:paraId="0A0443A6">
      <w:pPr>
        <w:snapToGrid w:val="0"/>
        <w:spacing w:line="360" w:lineRule="auto"/>
        <w:ind w:firstLine="516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日期</w:t>
      </w:r>
      <w:r>
        <w:rPr>
          <w:rFonts w:ascii="仿宋_GB2312;仿宋" w:hAnsi="仿宋_GB2312;仿宋" w:eastAsia="仿宋_GB2312;仿宋" w:cs="仿宋_GB2312;仿宋"/>
          <w:color w:val="auto"/>
          <w:kern w:val="0"/>
          <w:sz w:val="24"/>
          <w:highlight w:val="none"/>
        </w:rPr>
        <w:t xml:space="preserve">：  年  </w:t>
      </w:r>
      <w:r>
        <w:rPr>
          <w:rFonts w:ascii="仿宋_GB2312;仿宋" w:hAnsi="仿宋_GB2312;仿宋" w:eastAsia="仿宋_GB2312;仿宋" w:cs="仿宋_GB2312;仿宋"/>
          <w:color w:val="auto"/>
          <w:kern w:val="0"/>
          <w:sz w:val="24"/>
          <w:highlight w:val="none"/>
          <w:lang w:val="zh-CN"/>
        </w:rPr>
        <w:t>月</w:t>
      </w:r>
      <w:r>
        <w:rPr>
          <w:rFonts w:ascii="仿宋_GB2312;仿宋" w:hAnsi="仿宋_GB2312;仿宋" w:eastAsia="仿宋_GB2312;仿宋" w:cs="仿宋_GB2312;仿宋"/>
          <w:color w:val="auto"/>
          <w:kern w:val="0"/>
          <w:sz w:val="24"/>
          <w:highlight w:val="none"/>
          <w:lang w:val="en-US" w:eastAsia="zh-CN"/>
        </w:rPr>
        <w:t xml:space="preserve">  </w:t>
      </w:r>
      <w:r>
        <w:rPr>
          <w:rFonts w:ascii="仿宋_GB2312;仿宋" w:hAnsi="仿宋_GB2312;仿宋" w:eastAsia="仿宋_GB2312;仿宋" w:cs="仿宋_GB2312;仿宋"/>
          <w:color w:val="auto"/>
          <w:kern w:val="0"/>
          <w:sz w:val="24"/>
          <w:highlight w:val="none"/>
          <w:lang w:val="zh-CN"/>
        </w:rPr>
        <w:t>日</w:t>
      </w:r>
    </w:p>
    <w:p w14:paraId="0379D1EF">
      <w:pPr>
        <w:spacing w:line="288" w:lineRule="auto"/>
        <w:rPr>
          <w:rFonts w:ascii="仿宋" w:hAnsi="仿宋" w:eastAsia="仿宋" w:cs="仿宋"/>
          <w:b/>
          <w:color w:val="auto"/>
          <w:kern w:val="0"/>
          <w:sz w:val="30"/>
          <w:szCs w:val="30"/>
          <w:highlight w:val="none"/>
          <w:lang w:val="en-US" w:eastAsia="zh-CN"/>
        </w:rPr>
      </w:pPr>
    </w:p>
    <w:p w14:paraId="6116B332">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lang w:val="en-US" w:eastAsia="zh-CN"/>
        </w:rPr>
        <w:t>5</w:t>
      </w:r>
      <w:r>
        <w:rPr>
          <w:rFonts w:ascii="仿宋" w:hAnsi="仿宋" w:eastAsia="仿宋" w:cs="仿宋"/>
          <w:b/>
          <w:color w:val="auto"/>
          <w:kern w:val="0"/>
          <w:sz w:val="30"/>
          <w:szCs w:val="30"/>
          <w:highlight w:val="none"/>
          <w:lang w:val="zh-CN"/>
        </w:rPr>
        <w:t>、</w:t>
      </w:r>
      <w:r>
        <w:rPr>
          <w:rFonts w:ascii="仿宋" w:hAnsi="仿宋" w:eastAsia="仿宋" w:cs="仿宋"/>
          <w:b/>
          <w:color w:val="auto"/>
          <w:sz w:val="30"/>
          <w:szCs w:val="30"/>
          <w:highlight w:val="none"/>
        </w:rPr>
        <w:t>营业执照（复印件）</w:t>
      </w:r>
    </w:p>
    <w:p w14:paraId="2C689242">
      <w:pPr>
        <w:spacing w:line="288" w:lineRule="auto"/>
        <w:rPr>
          <w:rFonts w:ascii="仿宋" w:hAnsi="仿宋" w:eastAsia="仿宋" w:cs="仿宋"/>
          <w:b/>
          <w:color w:val="auto"/>
          <w:sz w:val="32"/>
          <w:szCs w:val="32"/>
          <w:highlight w:val="none"/>
        </w:rPr>
      </w:pPr>
    </w:p>
    <w:p w14:paraId="108CC4F7">
      <w:pPr>
        <w:spacing w:line="288" w:lineRule="auto"/>
        <w:jc w:val="center"/>
        <w:rPr>
          <w:rFonts w:ascii="仿宋" w:hAnsi="仿宋" w:eastAsia="仿宋" w:cs="仿宋"/>
          <w:b/>
          <w:color w:val="auto"/>
          <w:sz w:val="32"/>
          <w:szCs w:val="32"/>
          <w:highlight w:val="none"/>
        </w:rPr>
      </w:pPr>
    </w:p>
    <w:p w14:paraId="02D29D71">
      <w:pPr>
        <w:spacing w:line="288" w:lineRule="auto"/>
        <w:rPr>
          <w:rFonts w:ascii="仿宋" w:hAnsi="仿宋" w:eastAsia="仿宋" w:cs="仿宋"/>
          <w:b/>
          <w:bCs/>
          <w:color w:val="auto"/>
          <w:sz w:val="32"/>
          <w:szCs w:val="32"/>
          <w:highlight w:val="none"/>
        </w:rPr>
      </w:pPr>
    </w:p>
    <w:p w14:paraId="795347A3">
      <w:pPr>
        <w:spacing w:line="288" w:lineRule="auto"/>
        <w:rPr>
          <w:rFonts w:ascii="仿宋" w:hAnsi="仿宋" w:eastAsia="仿宋" w:cs="仿宋"/>
          <w:b/>
          <w:bCs/>
          <w:color w:val="auto"/>
          <w:sz w:val="32"/>
          <w:szCs w:val="32"/>
          <w:highlight w:val="none"/>
        </w:rPr>
      </w:pPr>
    </w:p>
    <w:p w14:paraId="3831AD46">
      <w:pPr>
        <w:spacing w:line="288" w:lineRule="auto"/>
        <w:rPr>
          <w:rFonts w:ascii="仿宋" w:hAnsi="仿宋" w:eastAsia="仿宋" w:cs="仿宋"/>
          <w:b/>
          <w:bCs/>
          <w:color w:val="auto"/>
          <w:sz w:val="32"/>
          <w:szCs w:val="32"/>
          <w:highlight w:val="none"/>
        </w:rPr>
      </w:pPr>
    </w:p>
    <w:p w14:paraId="73378645">
      <w:pPr>
        <w:spacing w:line="288" w:lineRule="auto"/>
        <w:rPr>
          <w:rFonts w:ascii="仿宋" w:hAnsi="仿宋" w:eastAsia="仿宋" w:cs="仿宋"/>
          <w:b/>
          <w:bCs/>
          <w:color w:val="auto"/>
          <w:sz w:val="32"/>
          <w:szCs w:val="32"/>
          <w:highlight w:val="none"/>
        </w:rPr>
      </w:pPr>
    </w:p>
    <w:p w14:paraId="1E93ECCD">
      <w:pPr>
        <w:spacing w:line="288" w:lineRule="auto"/>
        <w:rPr>
          <w:rFonts w:ascii="仿宋" w:hAnsi="仿宋" w:eastAsia="仿宋" w:cs="仿宋"/>
          <w:b/>
          <w:bCs/>
          <w:color w:val="auto"/>
          <w:sz w:val="32"/>
          <w:szCs w:val="32"/>
          <w:highlight w:val="none"/>
        </w:rPr>
      </w:pPr>
    </w:p>
    <w:p w14:paraId="46A29AA8">
      <w:pPr>
        <w:spacing w:line="288" w:lineRule="auto"/>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6</w:t>
      </w:r>
      <w:r>
        <w:rPr>
          <w:rFonts w:ascii="仿宋" w:hAnsi="仿宋" w:eastAsia="仿宋" w:cs="仿宋"/>
          <w:b/>
          <w:bCs/>
          <w:color w:val="auto"/>
          <w:sz w:val="32"/>
          <w:szCs w:val="32"/>
          <w:highlight w:val="none"/>
        </w:rPr>
        <w:t>、</w:t>
      </w:r>
      <w:r>
        <w:rPr>
          <w:rFonts w:ascii="仿宋" w:hAnsi="仿宋" w:eastAsia="仿宋" w:cs="仿宋"/>
          <w:b/>
          <w:color w:val="auto"/>
          <w:kern w:val="0"/>
          <w:sz w:val="32"/>
          <w:szCs w:val="32"/>
          <w:highlight w:val="none"/>
          <w:lang w:val="zh-CN"/>
        </w:rPr>
        <w:t>主要业绩证明</w:t>
      </w:r>
    </w:p>
    <w:p w14:paraId="6A51536F">
      <w:pPr>
        <w:autoSpaceDE w:val="0"/>
        <w:spacing w:line="288" w:lineRule="auto"/>
        <w:ind w:firstLine="120"/>
        <w:rPr>
          <w:rFonts w:cs="仿宋"/>
          <w:color w:val="auto"/>
          <w:highlight w:val="none"/>
        </w:rPr>
      </w:pPr>
      <w:r>
        <w:rPr>
          <w:rFonts w:ascii="仿宋" w:hAnsi="仿宋" w:eastAsia="仿宋" w:cs="仿宋"/>
          <w:b/>
          <w:color w:val="auto"/>
          <w:sz w:val="24"/>
          <w:highlight w:val="none"/>
        </w:rPr>
        <w:t>附表 :相关项目业绩一览表</w:t>
      </w:r>
    </w:p>
    <w:tbl>
      <w:tblPr>
        <w:tblStyle w:val="17"/>
        <w:tblW w:w="9150" w:type="dxa"/>
        <w:tblInd w:w="108" w:type="dxa"/>
        <w:tblLayout w:type="fixed"/>
        <w:tblCellMar>
          <w:top w:w="0" w:type="dxa"/>
          <w:left w:w="108" w:type="dxa"/>
          <w:bottom w:w="0" w:type="dxa"/>
          <w:right w:w="108" w:type="dxa"/>
        </w:tblCellMar>
      </w:tblPr>
      <w:tblGrid>
        <w:gridCol w:w="1800"/>
        <w:gridCol w:w="951"/>
        <w:gridCol w:w="1356"/>
        <w:gridCol w:w="3813"/>
        <w:gridCol w:w="1230"/>
      </w:tblGrid>
      <w:tr w14:paraId="2B34777B">
        <w:tblPrEx>
          <w:tblCellMar>
            <w:top w:w="0" w:type="dxa"/>
            <w:left w:w="108" w:type="dxa"/>
            <w:bottom w:w="0" w:type="dxa"/>
            <w:right w:w="108" w:type="dxa"/>
          </w:tblCellMar>
        </w:tblPrEx>
        <w:trPr>
          <w:trHeight w:val="1177" w:hRule="atLeast"/>
        </w:trPr>
        <w:tc>
          <w:tcPr>
            <w:tcW w:w="1800" w:type="dxa"/>
            <w:tcBorders>
              <w:top w:val="single" w:color="000000" w:sz="6" w:space="0"/>
              <w:left w:val="single" w:color="000000" w:sz="6" w:space="0"/>
              <w:bottom w:val="single" w:color="000000" w:sz="6" w:space="0"/>
              <w:right w:val="single" w:color="000000" w:sz="6" w:space="0"/>
            </w:tcBorders>
            <w:vAlign w:val="center"/>
          </w:tcPr>
          <w:p w14:paraId="234529B2">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项目名称</w:t>
            </w:r>
          </w:p>
        </w:tc>
        <w:tc>
          <w:tcPr>
            <w:tcW w:w="951" w:type="dxa"/>
            <w:tcBorders>
              <w:top w:val="single" w:color="000000" w:sz="6" w:space="0"/>
              <w:left w:val="single" w:color="000000" w:sz="6" w:space="0"/>
              <w:bottom w:val="single" w:color="000000" w:sz="6" w:space="0"/>
              <w:right w:val="single" w:color="000000" w:sz="6" w:space="0"/>
            </w:tcBorders>
            <w:vAlign w:val="center"/>
          </w:tcPr>
          <w:p w14:paraId="7DF2A2BD">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项目</w:t>
            </w:r>
          </w:p>
          <w:p w14:paraId="32C03447">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类型</w:t>
            </w:r>
          </w:p>
        </w:tc>
        <w:tc>
          <w:tcPr>
            <w:tcW w:w="1356" w:type="dxa"/>
            <w:tcBorders>
              <w:top w:val="single" w:color="000000" w:sz="6" w:space="0"/>
              <w:left w:val="single" w:color="000000" w:sz="6" w:space="0"/>
              <w:bottom w:val="single" w:color="000000" w:sz="6" w:space="0"/>
              <w:right w:val="single" w:color="000000" w:sz="6" w:space="0"/>
            </w:tcBorders>
            <w:vAlign w:val="center"/>
          </w:tcPr>
          <w:p w14:paraId="36B65D35">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简要描述</w:t>
            </w:r>
          </w:p>
        </w:tc>
        <w:tc>
          <w:tcPr>
            <w:tcW w:w="3813" w:type="dxa"/>
            <w:tcBorders>
              <w:top w:val="single" w:color="000000" w:sz="6" w:space="0"/>
              <w:left w:val="single" w:color="000000" w:sz="6" w:space="0"/>
              <w:bottom w:val="single" w:color="000000" w:sz="6" w:space="0"/>
              <w:right w:val="single" w:color="000000" w:sz="6" w:space="0"/>
            </w:tcBorders>
            <w:vAlign w:val="center"/>
          </w:tcPr>
          <w:p w14:paraId="130AF020">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项目金额</w:t>
            </w:r>
          </w:p>
          <w:p w14:paraId="5FFBB3C8">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（万元）</w:t>
            </w:r>
          </w:p>
        </w:tc>
        <w:tc>
          <w:tcPr>
            <w:tcW w:w="1230" w:type="dxa"/>
            <w:tcBorders>
              <w:top w:val="single" w:color="000000" w:sz="6" w:space="0"/>
              <w:left w:val="single" w:color="000000" w:sz="6" w:space="0"/>
              <w:bottom w:val="single" w:color="000000" w:sz="6" w:space="0"/>
              <w:right w:val="single" w:color="000000" w:sz="6" w:space="0"/>
            </w:tcBorders>
            <w:vAlign w:val="center"/>
          </w:tcPr>
          <w:p w14:paraId="7A18E184">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所在页码</w:t>
            </w:r>
          </w:p>
        </w:tc>
      </w:tr>
      <w:tr w14:paraId="1E23E5E6">
        <w:tblPrEx>
          <w:tblCellMar>
            <w:top w:w="0" w:type="dxa"/>
            <w:left w:w="108" w:type="dxa"/>
            <w:bottom w:w="0" w:type="dxa"/>
            <w:right w:w="108" w:type="dxa"/>
          </w:tblCellMar>
        </w:tblPrEx>
        <w:trPr>
          <w:trHeight w:val="894" w:hRule="atLeast"/>
        </w:trPr>
        <w:tc>
          <w:tcPr>
            <w:tcW w:w="1800" w:type="dxa"/>
            <w:tcBorders>
              <w:top w:val="single" w:color="000000" w:sz="6" w:space="0"/>
              <w:left w:val="single" w:color="000000" w:sz="6" w:space="0"/>
              <w:bottom w:val="single" w:color="000000" w:sz="6" w:space="0"/>
              <w:right w:val="single" w:color="000000" w:sz="6" w:space="0"/>
            </w:tcBorders>
          </w:tcPr>
          <w:p w14:paraId="1C31939B">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951" w:type="dxa"/>
            <w:tcBorders>
              <w:top w:val="single" w:color="000000" w:sz="6" w:space="0"/>
              <w:left w:val="single" w:color="000000" w:sz="6" w:space="0"/>
              <w:bottom w:val="single" w:color="000000" w:sz="6" w:space="0"/>
              <w:right w:val="single" w:color="000000" w:sz="6" w:space="0"/>
            </w:tcBorders>
          </w:tcPr>
          <w:p w14:paraId="544C1200">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356" w:type="dxa"/>
            <w:tcBorders>
              <w:top w:val="single" w:color="000000" w:sz="6" w:space="0"/>
              <w:left w:val="single" w:color="000000" w:sz="6" w:space="0"/>
              <w:bottom w:val="single" w:color="000000" w:sz="6" w:space="0"/>
              <w:right w:val="single" w:color="000000" w:sz="6" w:space="0"/>
            </w:tcBorders>
          </w:tcPr>
          <w:p w14:paraId="498A590F">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3813" w:type="dxa"/>
            <w:tcBorders>
              <w:top w:val="single" w:color="000000" w:sz="6" w:space="0"/>
              <w:left w:val="single" w:color="000000" w:sz="6" w:space="0"/>
              <w:bottom w:val="single" w:color="000000" w:sz="6" w:space="0"/>
              <w:right w:val="single" w:color="000000" w:sz="6" w:space="0"/>
            </w:tcBorders>
          </w:tcPr>
          <w:p w14:paraId="5D7864FF">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30" w:type="dxa"/>
            <w:tcBorders>
              <w:top w:val="single" w:color="000000" w:sz="6" w:space="0"/>
              <w:left w:val="single" w:color="000000" w:sz="6" w:space="0"/>
              <w:bottom w:val="single" w:color="000000" w:sz="6" w:space="0"/>
              <w:right w:val="single" w:color="000000" w:sz="6" w:space="0"/>
            </w:tcBorders>
          </w:tcPr>
          <w:p w14:paraId="378DCA27">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r>
      <w:tr w14:paraId="3E3A26F5">
        <w:tblPrEx>
          <w:tblCellMar>
            <w:top w:w="0" w:type="dxa"/>
            <w:left w:w="108" w:type="dxa"/>
            <w:bottom w:w="0" w:type="dxa"/>
            <w:right w:w="108" w:type="dxa"/>
          </w:tblCellMar>
        </w:tblPrEx>
        <w:trPr>
          <w:trHeight w:val="920" w:hRule="atLeast"/>
        </w:trPr>
        <w:tc>
          <w:tcPr>
            <w:tcW w:w="1800" w:type="dxa"/>
            <w:tcBorders>
              <w:top w:val="single" w:color="000000" w:sz="6" w:space="0"/>
              <w:left w:val="single" w:color="000000" w:sz="6" w:space="0"/>
              <w:bottom w:val="single" w:color="000000" w:sz="6" w:space="0"/>
              <w:right w:val="single" w:color="000000" w:sz="6" w:space="0"/>
            </w:tcBorders>
          </w:tcPr>
          <w:p w14:paraId="3C4F4052">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951" w:type="dxa"/>
            <w:tcBorders>
              <w:top w:val="single" w:color="000000" w:sz="6" w:space="0"/>
              <w:left w:val="single" w:color="000000" w:sz="6" w:space="0"/>
              <w:bottom w:val="single" w:color="000000" w:sz="6" w:space="0"/>
              <w:right w:val="single" w:color="000000" w:sz="6" w:space="0"/>
            </w:tcBorders>
          </w:tcPr>
          <w:p w14:paraId="1082483B">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356" w:type="dxa"/>
            <w:tcBorders>
              <w:top w:val="single" w:color="000000" w:sz="6" w:space="0"/>
              <w:left w:val="single" w:color="000000" w:sz="6" w:space="0"/>
              <w:bottom w:val="single" w:color="000000" w:sz="6" w:space="0"/>
              <w:right w:val="single" w:color="000000" w:sz="6" w:space="0"/>
            </w:tcBorders>
          </w:tcPr>
          <w:p w14:paraId="1A4B9A8B">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3813" w:type="dxa"/>
            <w:tcBorders>
              <w:top w:val="single" w:color="000000" w:sz="6" w:space="0"/>
              <w:left w:val="single" w:color="000000" w:sz="6" w:space="0"/>
              <w:bottom w:val="single" w:color="000000" w:sz="6" w:space="0"/>
              <w:right w:val="single" w:color="000000" w:sz="6" w:space="0"/>
            </w:tcBorders>
          </w:tcPr>
          <w:p w14:paraId="0162D699">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30" w:type="dxa"/>
            <w:tcBorders>
              <w:top w:val="single" w:color="000000" w:sz="6" w:space="0"/>
              <w:left w:val="single" w:color="000000" w:sz="6" w:space="0"/>
              <w:bottom w:val="single" w:color="000000" w:sz="6" w:space="0"/>
              <w:right w:val="single" w:color="000000" w:sz="6" w:space="0"/>
            </w:tcBorders>
          </w:tcPr>
          <w:p w14:paraId="51733909">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r>
      <w:tr w14:paraId="5B5664CC">
        <w:tblPrEx>
          <w:tblCellMar>
            <w:top w:w="0" w:type="dxa"/>
            <w:left w:w="108" w:type="dxa"/>
            <w:bottom w:w="0" w:type="dxa"/>
            <w:right w:w="108" w:type="dxa"/>
          </w:tblCellMar>
        </w:tblPrEx>
        <w:trPr>
          <w:trHeight w:val="933" w:hRule="atLeast"/>
        </w:trPr>
        <w:tc>
          <w:tcPr>
            <w:tcW w:w="1800" w:type="dxa"/>
            <w:tcBorders>
              <w:top w:val="single" w:color="000000" w:sz="6" w:space="0"/>
              <w:left w:val="single" w:color="000000" w:sz="6" w:space="0"/>
              <w:bottom w:val="single" w:color="000000" w:sz="6" w:space="0"/>
              <w:right w:val="single" w:color="000000" w:sz="6" w:space="0"/>
            </w:tcBorders>
          </w:tcPr>
          <w:p w14:paraId="01D3D73E">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951" w:type="dxa"/>
            <w:tcBorders>
              <w:top w:val="single" w:color="000000" w:sz="6" w:space="0"/>
              <w:left w:val="single" w:color="000000" w:sz="6" w:space="0"/>
              <w:bottom w:val="single" w:color="000000" w:sz="6" w:space="0"/>
              <w:right w:val="single" w:color="000000" w:sz="6" w:space="0"/>
            </w:tcBorders>
          </w:tcPr>
          <w:p w14:paraId="3A1C5988">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356" w:type="dxa"/>
            <w:tcBorders>
              <w:top w:val="single" w:color="000000" w:sz="6" w:space="0"/>
              <w:left w:val="single" w:color="000000" w:sz="6" w:space="0"/>
              <w:bottom w:val="single" w:color="000000" w:sz="6" w:space="0"/>
              <w:right w:val="single" w:color="000000" w:sz="6" w:space="0"/>
            </w:tcBorders>
          </w:tcPr>
          <w:p w14:paraId="5AB24A71">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3813" w:type="dxa"/>
            <w:tcBorders>
              <w:top w:val="single" w:color="000000" w:sz="6" w:space="0"/>
              <w:left w:val="single" w:color="000000" w:sz="6" w:space="0"/>
              <w:bottom w:val="single" w:color="000000" w:sz="6" w:space="0"/>
              <w:right w:val="single" w:color="000000" w:sz="6" w:space="0"/>
            </w:tcBorders>
          </w:tcPr>
          <w:p w14:paraId="550CD022">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30" w:type="dxa"/>
            <w:tcBorders>
              <w:top w:val="single" w:color="000000" w:sz="6" w:space="0"/>
              <w:left w:val="single" w:color="000000" w:sz="6" w:space="0"/>
              <w:bottom w:val="single" w:color="000000" w:sz="6" w:space="0"/>
              <w:right w:val="single" w:color="000000" w:sz="6" w:space="0"/>
            </w:tcBorders>
          </w:tcPr>
          <w:p w14:paraId="02F61A75">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r>
    </w:tbl>
    <w:p w14:paraId="1383C5F1">
      <w:pPr>
        <w:autoSpaceDE w:val="0"/>
        <w:spacing w:line="288" w:lineRule="auto"/>
        <w:rPr>
          <w:rFonts w:ascii="仿宋" w:hAnsi="仿宋" w:eastAsia="仿宋" w:cs="仿宋"/>
          <w:color w:val="auto"/>
          <w:sz w:val="24"/>
          <w:highlight w:val="none"/>
        </w:rPr>
      </w:pPr>
      <w:r>
        <w:rPr>
          <w:rFonts w:ascii="仿宋" w:hAnsi="仿宋" w:eastAsia="仿宋" w:cs="仿宋"/>
          <w:b/>
          <w:color w:val="auto"/>
          <w:sz w:val="24"/>
          <w:highlight w:val="none"/>
        </w:rPr>
        <w:t>注：投标人可按上述的格式自行编制。</w:t>
      </w:r>
    </w:p>
    <w:p w14:paraId="53D96F13">
      <w:pPr>
        <w:autoSpaceDE w:val="0"/>
        <w:spacing w:line="288" w:lineRule="auto"/>
        <w:rPr>
          <w:rFonts w:ascii="仿宋" w:hAnsi="仿宋" w:eastAsia="仿宋" w:cs="仿宋"/>
          <w:color w:val="auto"/>
          <w:kern w:val="0"/>
          <w:sz w:val="24"/>
          <w:highlight w:val="none"/>
        </w:rPr>
      </w:pPr>
    </w:p>
    <w:p w14:paraId="4D82E1A7">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xml:space="preserve">投标人名称（公章）：                       </w:t>
      </w:r>
    </w:p>
    <w:p w14:paraId="2139FFD6">
      <w:pPr>
        <w:autoSpaceDE w:val="0"/>
        <w:spacing w:line="288" w:lineRule="auto"/>
        <w:rPr>
          <w:rFonts w:ascii="仿宋" w:hAnsi="仿宋" w:eastAsia="仿宋" w:cs="仿宋"/>
          <w:color w:val="auto"/>
          <w:kern w:val="0"/>
          <w:sz w:val="24"/>
          <w:highlight w:val="none"/>
        </w:rPr>
      </w:pPr>
    </w:p>
    <w:p w14:paraId="1E7F09BC">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xml:space="preserve">法定代表人或其授权代表（签字或盖章）：                   </w:t>
      </w:r>
    </w:p>
    <w:p w14:paraId="64D11C10">
      <w:pPr>
        <w:spacing w:line="288" w:lineRule="auto"/>
        <w:jc w:val="right"/>
        <w:rPr>
          <w:rFonts w:ascii="仿宋" w:hAnsi="仿宋" w:eastAsia="仿宋" w:cs="仿宋"/>
          <w:color w:val="auto"/>
          <w:highlight w:val="none"/>
        </w:rPr>
      </w:pPr>
      <w:r>
        <w:rPr>
          <w:rFonts w:ascii="仿宋" w:hAnsi="仿宋" w:eastAsia="仿宋" w:cs="仿宋"/>
          <w:color w:val="auto"/>
          <w:kern w:val="0"/>
          <w:sz w:val="24"/>
          <w:highlight w:val="none"/>
        </w:rPr>
        <w:t xml:space="preserve">                                      日期：  年  月  日</w:t>
      </w:r>
    </w:p>
    <w:p w14:paraId="5C387ADE">
      <w:pPr>
        <w:pStyle w:val="93"/>
        <w:spacing w:line="288" w:lineRule="auto"/>
        <w:ind w:firstLine="0"/>
        <w:jc w:val="both"/>
        <w:rPr>
          <w:rFonts w:ascii="仿宋" w:hAnsi="仿宋" w:eastAsia="仿宋" w:cs="仿宋"/>
          <w:color w:val="auto"/>
          <w:highlight w:val="none"/>
        </w:rPr>
      </w:pPr>
    </w:p>
    <w:p w14:paraId="053D586C">
      <w:pPr>
        <w:pStyle w:val="93"/>
        <w:spacing w:line="288" w:lineRule="auto"/>
        <w:ind w:firstLine="0"/>
        <w:jc w:val="both"/>
        <w:rPr>
          <w:rFonts w:ascii="仿宋" w:hAnsi="仿宋" w:eastAsia="仿宋" w:cs="仿宋"/>
          <w:color w:val="auto"/>
          <w:highlight w:val="none"/>
        </w:rPr>
      </w:pPr>
    </w:p>
    <w:p w14:paraId="113BB013">
      <w:pPr>
        <w:spacing w:line="288" w:lineRule="auto"/>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7</w:t>
      </w:r>
      <w:r>
        <w:rPr>
          <w:rFonts w:ascii="仿宋" w:hAnsi="仿宋" w:eastAsia="仿宋" w:cs="仿宋"/>
          <w:b/>
          <w:bCs/>
          <w:color w:val="auto"/>
          <w:sz w:val="32"/>
          <w:szCs w:val="32"/>
          <w:highlight w:val="none"/>
        </w:rPr>
        <w:t>、技术解决方案</w:t>
      </w:r>
    </w:p>
    <w:p w14:paraId="4CE2BA4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（由投标人根据采购需求及招标文件要求编制）</w:t>
      </w:r>
    </w:p>
    <w:p w14:paraId="1534FFEE">
      <w:pPr>
        <w:spacing w:line="288" w:lineRule="auto"/>
        <w:jc w:val="center"/>
        <w:rPr>
          <w:rFonts w:ascii="仿宋" w:hAnsi="仿宋" w:eastAsia="仿宋" w:cs="仿宋"/>
          <w:color w:val="auto"/>
          <w:sz w:val="24"/>
          <w:highlight w:val="none"/>
        </w:rPr>
      </w:pPr>
    </w:p>
    <w:p w14:paraId="11F17DCA">
      <w:pPr>
        <w:snapToGrid w:val="0"/>
        <w:spacing w:line="288" w:lineRule="auto"/>
        <w:jc w:val="center"/>
        <w:rPr>
          <w:rFonts w:cs="仿宋"/>
          <w:color w:val="auto"/>
          <w:highlight w:val="none"/>
        </w:rPr>
      </w:pPr>
      <w:r>
        <w:rPr>
          <w:rFonts w:ascii="仿宋" w:hAnsi="仿宋" w:eastAsia="仿宋" w:cs="仿宋"/>
          <w:b/>
          <w:color w:val="auto"/>
          <w:sz w:val="32"/>
          <w:szCs w:val="32"/>
          <w:highlight w:val="none"/>
        </w:rPr>
        <w:t>投标产品规格配置清单</w:t>
      </w:r>
    </w:p>
    <w:tbl>
      <w:tblPr>
        <w:tblStyle w:val="17"/>
        <w:tblW w:w="9190" w:type="dxa"/>
        <w:tblInd w:w="-5" w:type="dxa"/>
        <w:tblLayout w:type="fixed"/>
        <w:tblCellMar>
          <w:top w:w="0" w:type="dxa"/>
          <w:left w:w="108" w:type="dxa"/>
          <w:bottom w:w="0" w:type="dxa"/>
          <w:right w:w="108" w:type="dxa"/>
        </w:tblCellMar>
      </w:tblPr>
      <w:tblGrid>
        <w:gridCol w:w="737"/>
        <w:gridCol w:w="1531"/>
        <w:gridCol w:w="2160"/>
        <w:gridCol w:w="2340"/>
        <w:gridCol w:w="1080"/>
        <w:gridCol w:w="1342"/>
      </w:tblGrid>
      <w:tr w14:paraId="4D39123C">
        <w:tblPrEx>
          <w:tblCellMar>
            <w:top w:w="0" w:type="dxa"/>
            <w:left w:w="108" w:type="dxa"/>
            <w:bottom w:w="0" w:type="dxa"/>
            <w:right w:w="108" w:type="dxa"/>
          </w:tblCellMar>
        </w:tblPrEx>
        <w:trPr>
          <w:trHeight w:val="77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29FCF220">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序号</w:t>
            </w:r>
          </w:p>
        </w:tc>
        <w:tc>
          <w:tcPr>
            <w:tcW w:w="1531" w:type="dxa"/>
            <w:tcBorders>
              <w:top w:val="single" w:color="000000" w:sz="4" w:space="0"/>
              <w:left w:val="single" w:color="000000" w:sz="4" w:space="0"/>
              <w:bottom w:val="single" w:color="000000" w:sz="4" w:space="0"/>
              <w:right w:val="single" w:color="000000" w:sz="4" w:space="0"/>
            </w:tcBorders>
            <w:vAlign w:val="center"/>
          </w:tcPr>
          <w:p w14:paraId="728E3B3D">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设备名称</w:t>
            </w:r>
          </w:p>
        </w:tc>
        <w:tc>
          <w:tcPr>
            <w:tcW w:w="2160" w:type="dxa"/>
            <w:tcBorders>
              <w:top w:val="single" w:color="000000" w:sz="4" w:space="0"/>
              <w:left w:val="single" w:color="000000" w:sz="4" w:space="0"/>
              <w:bottom w:val="single" w:color="000000" w:sz="4" w:space="0"/>
              <w:right w:val="single" w:color="000000" w:sz="4" w:space="0"/>
            </w:tcBorders>
            <w:vAlign w:val="center"/>
          </w:tcPr>
          <w:p w14:paraId="3B55577C">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投标品牌及型号</w:t>
            </w:r>
          </w:p>
        </w:tc>
        <w:tc>
          <w:tcPr>
            <w:tcW w:w="2340" w:type="dxa"/>
            <w:tcBorders>
              <w:top w:val="single" w:color="000000" w:sz="4" w:space="0"/>
              <w:left w:val="single" w:color="000000" w:sz="4" w:space="0"/>
              <w:bottom w:val="single" w:color="000000" w:sz="4" w:space="0"/>
              <w:right w:val="single" w:color="000000" w:sz="4" w:space="0"/>
            </w:tcBorders>
            <w:vAlign w:val="center"/>
          </w:tcPr>
          <w:p w14:paraId="13331F65">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规格配置详细说明</w:t>
            </w:r>
          </w:p>
        </w:tc>
        <w:tc>
          <w:tcPr>
            <w:tcW w:w="1080" w:type="dxa"/>
            <w:tcBorders>
              <w:top w:val="single" w:color="000000" w:sz="4" w:space="0"/>
              <w:left w:val="single" w:color="000000" w:sz="4" w:space="0"/>
              <w:bottom w:val="single" w:color="000000" w:sz="4" w:space="0"/>
              <w:right w:val="single" w:color="000000" w:sz="4" w:space="0"/>
            </w:tcBorders>
            <w:vAlign w:val="center"/>
          </w:tcPr>
          <w:p w14:paraId="3847C07A">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数量</w:t>
            </w:r>
          </w:p>
        </w:tc>
        <w:tc>
          <w:tcPr>
            <w:tcW w:w="1342" w:type="dxa"/>
            <w:tcBorders>
              <w:top w:val="single" w:color="000000" w:sz="4" w:space="0"/>
              <w:left w:val="single" w:color="000000" w:sz="4" w:space="0"/>
              <w:bottom w:val="single" w:color="000000" w:sz="4" w:space="0"/>
              <w:right w:val="single" w:color="000000" w:sz="4" w:space="0"/>
            </w:tcBorders>
            <w:vAlign w:val="center"/>
          </w:tcPr>
          <w:p w14:paraId="16F2C869">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备注</w:t>
            </w:r>
          </w:p>
        </w:tc>
      </w:tr>
      <w:tr w14:paraId="217D11E2">
        <w:tblPrEx>
          <w:tblCellMar>
            <w:top w:w="0" w:type="dxa"/>
            <w:left w:w="108" w:type="dxa"/>
            <w:bottom w:w="0" w:type="dxa"/>
            <w:right w:w="108" w:type="dxa"/>
          </w:tblCellMar>
        </w:tblPrEx>
        <w:trPr>
          <w:trHeight w:val="441"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06B2D73B">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w:t>
            </w:r>
          </w:p>
        </w:tc>
        <w:tc>
          <w:tcPr>
            <w:tcW w:w="1531" w:type="dxa"/>
            <w:tcBorders>
              <w:top w:val="single" w:color="000000" w:sz="4" w:space="0"/>
              <w:left w:val="single" w:color="000000" w:sz="4" w:space="0"/>
              <w:bottom w:val="single" w:color="000000" w:sz="4" w:space="0"/>
              <w:right w:val="single" w:color="000000" w:sz="4" w:space="0"/>
            </w:tcBorders>
            <w:vAlign w:val="center"/>
          </w:tcPr>
          <w:p w14:paraId="2529A8E3">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5C84ABD7">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20B320F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87B45B6">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3901651C">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4AE3EFEA">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5DD358DC">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2</w:t>
            </w:r>
          </w:p>
        </w:tc>
        <w:tc>
          <w:tcPr>
            <w:tcW w:w="1531" w:type="dxa"/>
            <w:tcBorders>
              <w:top w:val="single" w:color="000000" w:sz="4" w:space="0"/>
              <w:left w:val="single" w:color="000000" w:sz="4" w:space="0"/>
              <w:bottom w:val="single" w:color="000000" w:sz="4" w:space="0"/>
              <w:right w:val="single" w:color="000000" w:sz="4" w:space="0"/>
            </w:tcBorders>
            <w:vAlign w:val="center"/>
          </w:tcPr>
          <w:p w14:paraId="5C4799D7">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187BA57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32FAC5A6">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190FEDB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73DCC835">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6E83DB35">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78B84DB5">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3</w:t>
            </w:r>
          </w:p>
        </w:tc>
        <w:tc>
          <w:tcPr>
            <w:tcW w:w="1531" w:type="dxa"/>
            <w:tcBorders>
              <w:top w:val="single" w:color="000000" w:sz="4" w:space="0"/>
              <w:left w:val="single" w:color="000000" w:sz="4" w:space="0"/>
              <w:bottom w:val="single" w:color="000000" w:sz="4" w:space="0"/>
              <w:right w:val="single" w:color="000000" w:sz="4" w:space="0"/>
            </w:tcBorders>
            <w:vAlign w:val="center"/>
          </w:tcPr>
          <w:p w14:paraId="6B75ADF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1B700FBB">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0DF7C4F1">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6FC5091">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0181C839">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7946263B">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52C152A9">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4</w:t>
            </w:r>
          </w:p>
        </w:tc>
        <w:tc>
          <w:tcPr>
            <w:tcW w:w="1531" w:type="dxa"/>
            <w:tcBorders>
              <w:top w:val="single" w:color="000000" w:sz="4" w:space="0"/>
              <w:left w:val="single" w:color="000000" w:sz="4" w:space="0"/>
              <w:bottom w:val="single" w:color="000000" w:sz="4" w:space="0"/>
              <w:right w:val="single" w:color="000000" w:sz="4" w:space="0"/>
            </w:tcBorders>
            <w:vAlign w:val="center"/>
          </w:tcPr>
          <w:p w14:paraId="224B693D">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4B528233">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4326E993">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8E2467B">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386DDB8C">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0DB27652">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27655BEC">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5</w:t>
            </w:r>
          </w:p>
        </w:tc>
        <w:tc>
          <w:tcPr>
            <w:tcW w:w="1531" w:type="dxa"/>
            <w:tcBorders>
              <w:top w:val="single" w:color="000000" w:sz="4" w:space="0"/>
              <w:left w:val="single" w:color="000000" w:sz="4" w:space="0"/>
              <w:bottom w:val="single" w:color="000000" w:sz="4" w:space="0"/>
              <w:right w:val="single" w:color="000000" w:sz="4" w:space="0"/>
            </w:tcBorders>
            <w:vAlign w:val="center"/>
          </w:tcPr>
          <w:p w14:paraId="4BB65776">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5ABFD735">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4D0D418C">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7F28BF0">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69AC7C30">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bl>
    <w:p w14:paraId="487BBFD9">
      <w:pPr>
        <w:autoSpaceDE w:val="0"/>
        <w:spacing w:line="288" w:lineRule="auto"/>
        <w:rPr>
          <w:rFonts w:ascii="仿宋" w:hAnsi="仿宋" w:eastAsia="仿宋" w:cs="仿宋"/>
          <w:b/>
          <w:color w:val="auto"/>
          <w:kern w:val="0"/>
          <w:sz w:val="28"/>
          <w:szCs w:val="28"/>
          <w:highlight w:val="none"/>
        </w:rPr>
      </w:pPr>
      <w:r>
        <w:rPr>
          <w:rFonts w:ascii="仿宋" w:hAnsi="仿宋" w:eastAsia="仿宋" w:cs="仿宋"/>
          <w:b/>
          <w:color w:val="auto"/>
          <w:kern w:val="0"/>
          <w:sz w:val="28"/>
          <w:szCs w:val="28"/>
          <w:highlight w:val="none"/>
        </w:rPr>
        <w:t>注：</w:t>
      </w:r>
      <w:r>
        <w:rPr>
          <w:rFonts w:ascii="仿宋" w:hAnsi="仿宋" w:eastAsia="仿宋" w:cs="仿宋"/>
          <w:b/>
          <w:color w:val="auto"/>
          <w:sz w:val="28"/>
          <w:szCs w:val="28"/>
          <w:highlight w:val="none"/>
        </w:rPr>
        <w:t>如果本项目涉及硬件设备采购，须在技术文件中提供此配置清单，提供主要投标产品的技术参数证明材料（如官网截图、产品彩页、原厂技术说明等）。</w:t>
      </w:r>
    </w:p>
    <w:p w14:paraId="7ED2AF41">
      <w:pPr>
        <w:autoSpaceDE w:val="0"/>
        <w:spacing w:line="288" w:lineRule="auto"/>
        <w:rPr>
          <w:rFonts w:ascii="仿宋" w:hAnsi="仿宋" w:eastAsia="仿宋" w:cs="仿宋"/>
          <w:b/>
          <w:color w:val="auto"/>
          <w:kern w:val="0"/>
          <w:sz w:val="28"/>
          <w:szCs w:val="28"/>
          <w:highlight w:val="none"/>
        </w:rPr>
      </w:pPr>
    </w:p>
    <w:p w14:paraId="24B6885E">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投标人名称（公章）：</w:t>
      </w:r>
    </w:p>
    <w:p w14:paraId="11BEBBCE">
      <w:pPr>
        <w:autoSpaceDE w:val="0"/>
        <w:spacing w:line="288" w:lineRule="auto"/>
        <w:rPr>
          <w:rFonts w:ascii="仿宋" w:hAnsi="仿宋" w:eastAsia="仿宋" w:cs="仿宋"/>
          <w:color w:val="auto"/>
          <w:kern w:val="0"/>
          <w:sz w:val="24"/>
          <w:highlight w:val="none"/>
        </w:rPr>
      </w:pPr>
    </w:p>
    <w:p w14:paraId="4B5E766B">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法定代表人或其授权代表（签字或盖章）：</w:t>
      </w:r>
    </w:p>
    <w:p w14:paraId="4EBE3040">
      <w:pPr>
        <w:spacing w:line="288" w:lineRule="auto"/>
        <w:jc w:val="center"/>
        <w:rPr>
          <w:rFonts w:ascii="仿宋" w:hAnsi="仿宋" w:eastAsia="仿宋" w:cs="仿宋"/>
          <w:color w:val="auto"/>
          <w:kern w:val="0"/>
          <w:sz w:val="24"/>
          <w:highlight w:val="none"/>
        </w:rPr>
      </w:pPr>
    </w:p>
    <w:p w14:paraId="5B68B29A">
      <w:pPr>
        <w:spacing w:line="288" w:lineRule="auto"/>
        <w:jc w:val="right"/>
        <w:rPr>
          <w:rFonts w:ascii="仿宋" w:hAnsi="仿宋" w:eastAsia="仿宋" w:cs="仿宋"/>
          <w:b/>
          <w:bCs/>
          <w:color w:val="auto"/>
          <w:kern w:val="0"/>
          <w:sz w:val="24"/>
          <w:highlight w:val="none"/>
          <w:lang w:val="zh-CN"/>
        </w:rPr>
      </w:pPr>
      <w:r>
        <w:rPr>
          <w:rFonts w:ascii="仿宋" w:hAnsi="仿宋" w:eastAsia="仿宋" w:cs="仿宋"/>
          <w:color w:val="auto"/>
          <w:kern w:val="0"/>
          <w:sz w:val="24"/>
          <w:highlight w:val="none"/>
        </w:rPr>
        <w:t>日期：  年  月   日</w:t>
      </w:r>
    </w:p>
    <w:p w14:paraId="16DF2D39">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kern w:val="0"/>
          <w:sz w:val="32"/>
          <w:szCs w:val="32"/>
          <w:highlight w:val="none"/>
          <w:lang w:val="zh-CN"/>
        </w:rPr>
      </w:pPr>
    </w:p>
    <w:p w14:paraId="70791170">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42F95812">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7AAE548C">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5188B03C">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382AEBE3">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4E2CCFFF">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090EA7FF">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8</w:t>
      </w:r>
      <w:r>
        <w:rPr>
          <w:rFonts w:ascii="仿宋" w:hAnsi="仿宋" w:eastAsia="仿宋" w:cs="仿宋"/>
          <w:b/>
          <w:bCs/>
          <w:color w:val="auto"/>
          <w:sz w:val="32"/>
          <w:szCs w:val="32"/>
          <w:highlight w:val="none"/>
        </w:rPr>
        <w:t>、技术偏离说明表</w:t>
      </w:r>
    </w:p>
    <w:p w14:paraId="52849162">
      <w:pPr>
        <w:spacing w:line="288" w:lineRule="auto"/>
        <w:rPr>
          <w:rFonts w:cs="仿宋"/>
          <w:color w:val="auto"/>
          <w:highlight w:val="none"/>
        </w:rPr>
      </w:pPr>
      <w:r>
        <w:rPr>
          <w:rFonts w:ascii="仿宋" w:hAnsi="仿宋" w:eastAsia="仿宋" w:cs="仿宋"/>
          <w:color w:val="auto"/>
          <w:sz w:val="24"/>
          <w:highlight w:val="none"/>
        </w:rPr>
        <w:t>（由投标人根据采购需求及招标文件要求编制）</w:t>
      </w:r>
    </w:p>
    <w:tbl>
      <w:tblPr>
        <w:tblStyle w:val="17"/>
        <w:tblW w:w="9427" w:type="dxa"/>
        <w:jc w:val="center"/>
        <w:tblLayout w:type="fixed"/>
        <w:tblCellMar>
          <w:top w:w="0" w:type="dxa"/>
          <w:left w:w="108" w:type="dxa"/>
          <w:bottom w:w="0" w:type="dxa"/>
          <w:right w:w="108" w:type="dxa"/>
        </w:tblCellMar>
      </w:tblPr>
      <w:tblGrid>
        <w:gridCol w:w="713"/>
        <w:gridCol w:w="3087"/>
        <w:gridCol w:w="2937"/>
        <w:gridCol w:w="1201"/>
        <w:gridCol w:w="1489"/>
      </w:tblGrid>
      <w:tr w14:paraId="090BC462">
        <w:tblPrEx>
          <w:tblCellMar>
            <w:top w:w="0" w:type="dxa"/>
            <w:left w:w="108" w:type="dxa"/>
            <w:bottom w:w="0" w:type="dxa"/>
            <w:right w:w="108" w:type="dxa"/>
          </w:tblCellMar>
        </w:tblPrEx>
        <w:trPr>
          <w:trHeight w:val="456" w:hRule="atLeast"/>
          <w:jc w:val="center"/>
        </w:trPr>
        <w:tc>
          <w:tcPr>
            <w:tcW w:w="713" w:type="dxa"/>
            <w:tcBorders>
              <w:top w:val="single" w:color="000000" w:sz="4" w:space="0"/>
              <w:left w:val="single" w:color="000000" w:sz="4" w:space="0"/>
              <w:bottom w:val="single" w:color="000000" w:sz="4" w:space="0"/>
              <w:right w:val="single" w:color="000000" w:sz="4" w:space="0"/>
            </w:tcBorders>
          </w:tcPr>
          <w:p w14:paraId="103A7627">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序号</w:t>
            </w:r>
          </w:p>
        </w:tc>
        <w:tc>
          <w:tcPr>
            <w:tcW w:w="3087" w:type="dxa"/>
            <w:tcBorders>
              <w:top w:val="single" w:color="000000" w:sz="4" w:space="0"/>
              <w:left w:val="single" w:color="000000" w:sz="4" w:space="0"/>
              <w:bottom w:val="single" w:color="000000" w:sz="4" w:space="0"/>
              <w:right w:val="single" w:color="000000" w:sz="4" w:space="0"/>
            </w:tcBorders>
          </w:tcPr>
          <w:p w14:paraId="51FD8E51">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招标文件要求</w:t>
            </w:r>
          </w:p>
        </w:tc>
        <w:tc>
          <w:tcPr>
            <w:tcW w:w="2937" w:type="dxa"/>
            <w:tcBorders>
              <w:top w:val="single" w:color="000000" w:sz="4" w:space="0"/>
              <w:left w:val="single" w:color="000000" w:sz="4" w:space="0"/>
              <w:bottom w:val="single" w:color="000000" w:sz="4" w:space="0"/>
              <w:right w:val="single" w:color="000000" w:sz="4" w:space="0"/>
            </w:tcBorders>
          </w:tcPr>
          <w:p w14:paraId="4E870376">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投标响应</w:t>
            </w:r>
          </w:p>
        </w:tc>
        <w:tc>
          <w:tcPr>
            <w:tcW w:w="1201" w:type="dxa"/>
            <w:tcBorders>
              <w:top w:val="single" w:color="000000" w:sz="4" w:space="0"/>
              <w:left w:val="single" w:color="000000" w:sz="4" w:space="0"/>
              <w:bottom w:val="single" w:color="000000" w:sz="4" w:space="0"/>
              <w:right w:val="single" w:color="000000" w:sz="4" w:space="0"/>
            </w:tcBorders>
          </w:tcPr>
          <w:p w14:paraId="38BAB18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数量</w:t>
            </w:r>
          </w:p>
        </w:tc>
        <w:tc>
          <w:tcPr>
            <w:tcW w:w="1489" w:type="dxa"/>
            <w:tcBorders>
              <w:top w:val="single" w:color="000000" w:sz="4" w:space="0"/>
              <w:left w:val="single" w:color="000000" w:sz="4" w:space="0"/>
              <w:bottom w:val="single" w:color="000000" w:sz="4" w:space="0"/>
              <w:right w:val="single" w:color="000000" w:sz="4" w:space="0"/>
            </w:tcBorders>
          </w:tcPr>
          <w:p w14:paraId="0839ADEB">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偏离情况</w:t>
            </w:r>
          </w:p>
        </w:tc>
      </w:tr>
      <w:tr w14:paraId="7B2FFB24">
        <w:tblPrEx>
          <w:tblCellMar>
            <w:top w:w="0" w:type="dxa"/>
            <w:left w:w="108" w:type="dxa"/>
            <w:bottom w:w="0" w:type="dxa"/>
            <w:right w:w="108" w:type="dxa"/>
          </w:tblCellMar>
        </w:tblPrEx>
        <w:trPr>
          <w:trHeight w:val="461"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74BE5F9E">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w:t>
            </w:r>
          </w:p>
        </w:tc>
        <w:tc>
          <w:tcPr>
            <w:tcW w:w="3087" w:type="dxa"/>
            <w:tcBorders>
              <w:top w:val="single" w:color="000000" w:sz="4" w:space="0"/>
              <w:left w:val="single" w:color="000000" w:sz="4" w:space="0"/>
              <w:bottom w:val="single" w:color="000000" w:sz="4" w:space="0"/>
              <w:right w:val="single" w:color="000000" w:sz="4" w:space="0"/>
            </w:tcBorders>
            <w:vAlign w:val="center"/>
          </w:tcPr>
          <w:p w14:paraId="02A8B293">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招标文件技术要求</w:t>
            </w:r>
          </w:p>
          <w:p w14:paraId="7BC59591">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(根据标内要求复制)</w:t>
            </w:r>
          </w:p>
        </w:tc>
        <w:tc>
          <w:tcPr>
            <w:tcW w:w="2937" w:type="dxa"/>
            <w:tcBorders>
              <w:top w:val="single" w:color="000000" w:sz="4" w:space="0"/>
              <w:left w:val="single" w:color="000000" w:sz="4" w:space="0"/>
              <w:bottom w:val="single" w:color="000000" w:sz="4" w:space="0"/>
              <w:right w:val="single" w:color="000000" w:sz="4" w:space="0"/>
            </w:tcBorders>
            <w:vAlign w:val="center"/>
          </w:tcPr>
          <w:p w14:paraId="280B9085">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请填写投标所提供货物或服务的相对应详细描述</w:t>
            </w:r>
          </w:p>
        </w:tc>
        <w:tc>
          <w:tcPr>
            <w:tcW w:w="1201" w:type="dxa"/>
            <w:tcBorders>
              <w:top w:val="single" w:color="000000" w:sz="4" w:space="0"/>
              <w:left w:val="single" w:color="000000" w:sz="4" w:space="0"/>
              <w:bottom w:val="single" w:color="000000" w:sz="4" w:space="0"/>
              <w:right w:val="single" w:color="000000" w:sz="4" w:space="0"/>
            </w:tcBorders>
          </w:tcPr>
          <w:p w14:paraId="7FB9FBB6">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78583F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Cs w:val="21"/>
                <w:highlight w:val="none"/>
              </w:rPr>
              <w:t>（正偏离、负偏离、无偏离）</w:t>
            </w:r>
          </w:p>
        </w:tc>
      </w:tr>
      <w:tr w14:paraId="291CAB2A">
        <w:tblPrEx>
          <w:tblCellMar>
            <w:top w:w="0" w:type="dxa"/>
            <w:left w:w="108" w:type="dxa"/>
            <w:bottom w:w="0" w:type="dxa"/>
            <w:right w:w="108" w:type="dxa"/>
          </w:tblCellMar>
        </w:tblPrEx>
        <w:trPr>
          <w:trHeight w:val="461"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1B92AD18">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3087" w:type="dxa"/>
            <w:tcBorders>
              <w:top w:val="single" w:color="000000" w:sz="4" w:space="0"/>
              <w:left w:val="single" w:color="000000" w:sz="4" w:space="0"/>
              <w:bottom w:val="single" w:color="000000" w:sz="4" w:space="0"/>
              <w:right w:val="single" w:color="000000" w:sz="4" w:space="0"/>
            </w:tcBorders>
            <w:vAlign w:val="center"/>
          </w:tcPr>
          <w:p w14:paraId="294F40C6">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w:t>
            </w:r>
          </w:p>
        </w:tc>
        <w:tc>
          <w:tcPr>
            <w:tcW w:w="2937" w:type="dxa"/>
            <w:tcBorders>
              <w:top w:val="single" w:color="000000" w:sz="4" w:space="0"/>
              <w:left w:val="single" w:color="000000" w:sz="4" w:space="0"/>
              <w:bottom w:val="single" w:color="000000" w:sz="4" w:space="0"/>
              <w:right w:val="single" w:color="000000" w:sz="4" w:space="0"/>
            </w:tcBorders>
            <w:vAlign w:val="center"/>
          </w:tcPr>
          <w:p w14:paraId="697DFD88">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可自行添加行</w:t>
            </w:r>
          </w:p>
        </w:tc>
        <w:tc>
          <w:tcPr>
            <w:tcW w:w="1201" w:type="dxa"/>
            <w:tcBorders>
              <w:top w:val="single" w:color="000000" w:sz="4" w:space="0"/>
              <w:left w:val="single" w:color="000000" w:sz="4" w:space="0"/>
              <w:bottom w:val="single" w:color="000000" w:sz="4" w:space="0"/>
              <w:right w:val="single" w:color="000000" w:sz="4" w:space="0"/>
            </w:tcBorders>
          </w:tcPr>
          <w:p w14:paraId="28AC527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7E6C7166">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750501DE">
        <w:tblPrEx>
          <w:tblCellMar>
            <w:top w:w="0" w:type="dxa"/>
            <w:left w:w="108" w:type="dxa"/>
            <w:bottom w:w="0" w:type="dxa"/>
            <w:right w:w="108" w:type="dxa"/>
          </w:tblCellMar>
        </w:tblPrEx>
        <w:trPr>
          <w:trHeight w:val="452"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BAE34D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3087" w:type="dxa"/>
            <w:tcBorders>
              <w:top w:val="single" w:color="000000" w:sz="4" w:space="0"/>
              <w:left w:val="single" w:color="000000" w:sz="4" w:space="0"/>
              <w:bottom w:val="single" w:color="000000" w:sz="4" w:space="0"/>
              <w:right w:val="single" w:color="000000" w:sz="4" w:space="0"/>
            </w:tcBorders>
            <w:vAlign w:val="center"/>
          </w:tcPr>
          <w:p w14:paraId="47B07B65">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28927067">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360B2A70">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184B18B0">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2DFCA72D">
        <w:tblPrEx>
          <w:tblCellMar>
            <w:top w:w="0" w:type="dxa"/>
            <w:left w:w="108" w:type="dxa"/>
            <w:bottom w:w="0" w:type="dxa"/>
            <w:right w:w="108" w:type="dxa"/>
          </w:tblCellMar>
        </w:tblPrEx>
        <w:trPr>
          <w:trHeight w:val="452"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0DC28F1">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2</w:t>
            </w:r>
          </w:p>
        </w:tc>
        <w:tc>
          <w:tcPr>
            <w:tcW w:w="3087" w:type="dxa"/>
            <w:tcBorders>
              <w:top w:val="single" w:color="000000" w:sz="4" w:space="0"/>
              <w:left w:val="single" w:color="000000" w:sz="4" w:space="0"/>
              <w:bottom w:val="single" w:color="000000" w:sz="4" w:space="0"/>
              <w:right w:val="single" w:color="000000" w:sz="4" w:space="0"/>
            </w:tcBorders>
            <w:vAlign w:val="center"/>
          </w:tcPr>
          <w:p w14:paraId="32B73368">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2C869FF3">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00EFFC89">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1DBE9C66">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5E0E1D61">
        <w:tblPrEx>
          <w:tblCellMar>
            <w:top w:w="0" w:type="dxa"/>
            <w:left w:w="108" w:type="dxa"/>
            <w:bottom w:w="0" w:type="dxa"/>
            <w:right w:w="108" w:type="dxa"/>
          </w:tblCellMar>
        </w:tblPrEx>
        <w:trPr>
          <w:trHeight w:val="459"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F3939AA">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3</w:t>
            </w:r>
          </w:p>
        </w:tc>
        <w:tc>
          <w:tcPr>
            <w:tcW w:w="3087" w:type="dxa"/>
            <w:tcBorders>
              <w:top w:val="single" w:color="000000" w:sz="4" w:space="0"/>
              <w:left w:val="single" w:color="000000" w:sz="4" w:space="0"/>
              <w:bottom w:val="single" w:color="000000" w:sz="4" w:space="0"/>
              <w:right w:val="single" w:color="000000" w:sz="4" w:space="0"/>
            </w:tcBorders>
            <w:vAlign w:val="center"/>
          </w:tcPr>
          <w:p w14:paraId="443656BD">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18241552">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256412C2">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E9D549B">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5DD0485F">
        <w:tblPrEx>
          <w:tblCellMar>
            <w:top w:w="0" w:type="dxa"/>
            <w:left w:w="108" w:type="dxa"/>
            <w:bottom w:w="0" w:type="dxa"/>
            <w:right w:w="108" w:type="dxa"/>
          </w:tblCellMar>
        </w:tblPrEx>
        <w:trPr>
          <w:trHeight w:val="451"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AFBE0B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4</w:t>
            </w:r>
          </w:p>
        </w:tc>
        <w:tc>
          <w:tcPr>
            <w:tcW w:w="3087" w:type="dxa"/>
            <w:tcBorders>
              <w:top w:val="single" w:color="000000" w:sz="4" w:space="0"/>
              <w:left w:val="single" w:color="000000" w:sz="4" w:space="0"/>
              <w:bottom w:val="single" w:color="000000" w:sz="4" w:space="0"/>
              <w:right w:val="single" w:color="000000" w:sz="4" w:space="0"/>
            </w:tcBorders>
            <w:vAlign w:val="center"/>
          </w:tcPr>
          <w:p w14:paraId="47B4E1C7">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05394831">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4CBFDC24">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633F9B9">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6B34ED07">
        <w:tblPrEx>
          <w:tblCellMar>
            <w:top w:w="0" w:type="dxa"/>
            <w:left w:w="108" w:type="dxa"/>
            <w:bottom w:w="0" w:type="dxa"/>
            <w:right w:w="108" w:type="dxa"/>
          </w:tblCellMar>
        </w:tblPrEx>
        <w:trPr>
          <w:trHeight w:val="457"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A0A4814">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5</w:t>
            </w:r>
          </w:p>
        </w:tc>
        <w:tc>
          <w:tcPr>
            <w:tcW w:w="3087" w:type="dxa"/>
            <w:tcBorders>
              <w:top w:val="single" w:color="000000" w:sz="4" w:space="0"/>
              <w:left w:val="single" w:color="000000" w:sz="4" w:space="0"/>
              <w:bottom w:val="single" w:color="000000" w:sz="4" w:space="0"/>
              <w:right w:val="single" w:color="000000" w:sz="4" w:space="0"/>
            </w:tcBorders>
            <w:vAlign w:val="center"/>
          </w:tcPr>
          <w:p w14:paraId="6CB3EC2F">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0942AC7A">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7D77F25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1CCA28EF">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667B995C">
        <w:tblPrEx>
          <w:tblCellMar>
            <w:top w:w="0" w:type="dxa"/>
            <w:left w:w="108" w:type="dxa"/>
            <w:bottom w:w="0" w:type="dxa"/>
            <w:right w:w="108" w:type="dxa"/>
          </w:tblCellMar>
        </w:tblPrEx>
        <w:trPr>
          <w:trHeight w:val="463"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04A16F2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6</w:t>
            </w:r>
          </w:p>
        </w:tc>
        <w:tc>
          <w:tcPr>
            <w:tcW w:w="3087" w:type="dxa"/>
            <w:tcBorders>
              <w:top w:val="single" w:color="000000" w:sz="4" w:space="0"/>
              <w:left w:val="single" w:color="000000" w:sz="4" w:space="0"/>
              <w:bottom w:val="single" w:color="000000" w:sz="4" w:space="0"/>
              <w:right w:val="single" w:color="000000" w:sz="4" w:space="0"/>
            </w:tcBorders>
            <w:vAlign w:val="center"/>
          </w:tcPr>
          <w:p w14:paraId="392952E1">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5998ED23">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0DE11E5E">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35A7920F">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580E8D81">
        <w:tblPrEx>
          <w:tblCellMar>
            <w:top w:w="0" w:type="dxa"/>
            <w:left w:w="108" w:type="dxa"/>
            <w:bottom w:w="0" w:type="dxa"/>
            <w:right w:w="108" w:type="dxa"/>
          </w:tblCellMar>
        </w:tblPrEx>
        <w:trPr>
          <w:trHeight w:val="468"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49405420">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7</w:t>
            </w:r>
          </w:p>
        </w:tc>
        <w:tc>
          <w:tcPr>
            <w:tcW w:w="3087" w:type="dxa"/>
            <w:tcBorders>
              <w:top w:val="single" w:color="000000" w:sz="4" w:space="0"/>
              <w:left w:val="single" w:color="000000" w:sz="4" w:space="0"/>
              <w:bottom w:val="single" w:color="000000" w:sz="4" w:space="0"/>
              <w:right w:val="single" w:color="000000" w:sz="4" w:space="0"/>
            </w:tcBorders>
            <w:vAlign w:val="center"/>
          </w:tcPr>
          <w:p w14:paraId="30A2A20B">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4F4B09E1">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3C4EA6B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F4DF91E">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26A66D3B">
        <w:tblPrEx>
          <w:tblCellMar>
            <w:top w:w="0" w:type="dxa"/>
            <w:left w:w="108" w:type="dxa"/>
            <w:bottom w:w="0" w:type="dxa"/>
            <w:right w:w="108" w:type="dxa"/>
          </w:tblCellMar>
        </w:tblPrEx>
        <w:trPr>
          <w:trHeight w:val="446"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F53A07B">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8</w:t>
            </w:r>
          </w:p>
        </w:tc>
        <w:tc>
          <w:tcPr>
            <w:tcW w:w="3087" w:type="dxa"/>
            <w:tcBorders>
              <w:top w:val="single" w:color="000000" w:sz="4" w:space="0"/>
              <w:left w:val="single" w:color="000000" w:sz="4" w:space="0"/>
              <w:bottom w:val="single" w:color="000000" w:sz="4" w:space="0"/>
              <w:right w:val="single" w:color="000000" w:sz="4" w:space="0"/>
            </w:tcBorders>
            <w:vAlign w:val="center"/>
          </w:tcPr>
          <w:p w14:paraId="68BDC672">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w:t>
            </w:r>
          </w:p>
        </w:tc>
        <w:tc>
          <w:tcPr>
            <w:tcW w:w="2937" w:type="dxa"/>
            <w:tcBorders>
              <w:top w:val="single" w:color="000000" w:sz="4" w:space="0"/>
              <w:left w:val="single" w:color="000000" w:sz="4" w:space="0"/>
              <w:bottom w:val="single" w:color="000000" w:sz="4" w:space="0"/>
              <w:right w:val="single" w:color="000000" w:sz="4" w:space="0"/>
            </w:tcBorders>
            <w:vAlign w:val="center"/>
          </w:tcPr>
          <w:p w14:paraId="2869D7D4">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7ADA93D4">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6967D317">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bl>
    <w:p w14:paraId="1B871175">
      <w:pPr>
        <w:tabs>
          <w:tab w:val="left" w:pos="570"/>
        </w:tabs>
        <w:spacing w:line="288" w:lineRule="auto"/>
        <w:ind w:firstLine="120"/>
        <w:jc w:val="left"/>
        <w:rPr>
          <w:rFonts w:ascii="仿宋" w:hAnsi="仿宋" w:eastAsia="仿宋" w:cs="仿宋"/>
          <w:color w:val="auto"/>
          <w:sz w:val="24"/>
          <w:highlight w:val="none"/>
        </w:rPr>
      </w:pPr>
      <w:r>
        <w:rPr>
          <w:rFonts w:ascii="仿宋" w:hAnsi="仿宋" w:eastAsia="仿宋" w:cs="仿宋"/>
          <w:color w:val="auto"/>
          <w:sz w:val="24"/>
          <w:highlight w:val="none"/>
        </w:rPr>
        <w:t>注：1.此表须与</w:t>
      </w:r>
      <w:r>
        <w:rPr>
          <w:rFonts w:ascii="仿宋" w:hAnsi="仿宋" w:eastAsia="仿宋" w:cs="仿宋"/>
          <w:color w:val="auto"/>
          <w:kern w:val="0"/>
          <w:sz w:val="24"/>
          <w:highlight w:val="none"/>
        </w:rPr>
        <w:t>招标文件“项目技术规范和服务要求”相</w:t>
      </w:r>
      <w:r>
        <w:rPr>
          <w:rFonts w:ascii="仿宋" w:hAnsi="仿宋" w:eastAsia="仿宋" w:cs="仿宋"/>
          <w:color w:val="auto"/>
          <w:sz w:val="24"/>
          <w:highlight w:val="none"/>
        </w:rPr>
        <w:t>应标项内的所有技术规格相比较且一一对应真实逐条填列。</w:t>
      </w:r>
    </w:p>
    <w:p w14:paraId="0EA4C9F8">
      <w:pPr>
        <w:tabs>
          <w:tab w:val="left" w:pos="570"/>
        </w:tabs>
        <w:spacing w:line="288" w:lineRule="auto"/>
        <w:jc w:val="left"/>
        <w:rPr>
          <w:rFonts w:ascii="仿宋" w:hAnsi="仿宋" w:eastAsia="仿宋" w:cs="仿宋"/>
          <w:color w:val="auto"/>
          <w:sz w:val="24"/>
          <w:highlight w:val="none"/>
        </w:rPr>
      </w:pPr>
      <w:r>
        <w:rPr>
          <w:rFonts w:ascii="仿宋" w:hAnsi="仿宋" w:eastAsia="仿宋" w:cs="仿宋"/>
          <w:color w:val="auto"/>
          <w:sz w:val="24"/>
          <w:highlight w:val="none"/>
        </w:rPr>
        <w:t>2、投标人递交的技术规格书中必须真实逐条列明，否则由投标人自行承担相关风险。</w:t>
      </w:r>
    </w:p>
    <w:p w14:paraId="435AB047">
      <w:pPr>
        <w:spacing w:line="288" w:lineRule="auto"/>
        <w:ind w:left="-210" w:firstLine="120"/>
        <w:rPr>
          <w:rFonts w:ascii="仿宋" w:hAnsi="仿宋" w:eastAsia="仿宋" w:cs="仿宋"/>
          <w:color w:val="auto"/>
          <w:sz w:val="24"/>
          <w:highlight w:val="none"/>
        </w:rPr>
      </w:pPr>
    </w:p>
    <w:p w14:paraId="33C05F3E">
      <w:pPr>
        <w:spacing w:line="288" w:lineRule="auto"/>
        <w:ind w:left="-210" w:firstLine="120"/>
        <w:rPr>
          <w:rFonts w:ascii="仿宋" w:hAnsi="仿宋" w:eastAsia="仿宋" w:cs="仿宋"/>
          <w:color w:val="auto"/>
          <w:sz w:val="24"/>
          <w:highlight w:val="none"/>
        </w:rPr>
      </w:pPr>
      <w:r>
        <w:rPr>
          <w:rFonts w:ascii="仿宋" w:hAnsi="仿宋" w:eastAsia="仿宋" w:cs="仿宋"/>
          <w:color w:val="auto"/>
          <w:sz w:val="24"/>
          <w:highlight w:val="none"/>
        </w:rPr>
        <w:t>投标人名称（盖章）：</w:t>
      </w:r>
    </w:p>
    <w:p w14:paraId="3C34BB89">
      <w:pPr>
        <w:spacing w:line="288" w:lineRule="auto"/>
        <w:ind w:left="-210" w:firstLine="120"/>
        <w:jc w:val="left"/>
        <w:rPr>
          <w:rFonts w:ascii="仿宋" w:hAnsi="仿宋" w:eastAsia="仿宋" w:cs="仿宋"/>
          <w:color w:val="auto"/>
          <w:sz w:val="24"/>
          <w:highlight w:val="none"/>
        </w:rPr>
      </w:pPr>
    </w:p>
    <w:p w14:paraId="52251B9E">
      <w:pPr>
        <w:spacing w:line="288" w:lineRule="auto"/>
        <w:ind w:left="-210" w:firstLine="120"/>
        <w:jc w:val="left"/>
        <w:rPr>
          <w:rFonts w:ascii="仿宋" w:hAnsi="仿宋" w:eastAsia="仿宋" w:cs="仿宋"/>
          <w:color w:val="auto"/>
          <w:sz w:val="24"/>
          <w:highlight w:val="none"/>
        </w:rPr>
      </w:pPr>
      <w:r>
        <w:rPr>
          <w:rFonts w:ascii="仿宋" w:hAnsi="仿宋" w:eastAsia="仿宋" w:cs="仿宋"/>
          <w:color w:val="auto"/>
          <w:sz w:val="24"/>
          <w:highlight w:val="none"/>
        </w:rPr>
        <w:t>法定代表人或其授权代表（签字或盖章）：</w:t>
      </w:r>
    </w:p>
    <w:p w14:paraId="7E847398">
      <w:pPr>
        <w:spacing w:line="288" w:lineRule="auto"/>
        <w:rPr>
          <w:rFonts w:ascii="仿宋" w:hAnsi="仿宋" w:eastAsia="仿宋" w:cs="仿宋"/>
          <w:color w:val="auto"/>
          <w:sz w:val="24"/>
          <w:highlight w:val="none"/>
        </w:rPr>
      </w:pPr>
    </w:p>
    <w:p w14:paraId="29FD861F">
      <w:pPr>
        <w:spacing w:line="288" w:lineRule="auto"/>
        <w:jc w:val="right"/>
        <w:rPr>
          <w:rFonts w:ascii="仿宋" w:hAnsi="仿宋" w:eastAsia="仿宋" w:cs="仿宋"/>
          <w:color w:val="auto"/>
          <w:sz w:val="24"/>
          <w:highlight w:val="none"/>
        </w:rPr>
      </w:pPr>
      <w:r>
        <w:rPr>
          <w:rFonts w:ascii="仿宋" w:hAnsi="仿宋" w:eastAsia="仿宋" w:cs="仿宋"/>
          <w:color w:val="auto"/>
          <w:sz w:val="24"/>
          <w:highlight w:val="none"/>
        </w:rPr>
        <w:t>日期：    年   月   日</w:t>
      </w:r>
    </w:p>
    <w:p w14:paraId="1E267694">
      <w:pPr>
        <w:spacing w:line="288" w:lineRule="auto"/>
        <w:jc w:val="center"/>
        <w:rPr>
          <w:rFonts w:ascii="仿宋" w:hAnsi="仿宋" w:eastAsia="仿宋" w:cs="仿宋"/>
          <w:b/>
          <w:color w:val="auto"/>
          <w:sz w:val="24"/>
          <w:highlight w:val="none"/>
        </w:rPr>
      </w:pPr>
    </w:p>
    <w:p w14:paraId="6C6198EB">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7ABA58B7">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79F9337E">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053755AE">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1ADCF958">
      <w:pPr>
        <w:spacing w:line="288" w:lineRule="auto"/>
        <w:rPr>
          <w:rFonts w:ascii="仿宋" w:hAnsi="仿宋" w:eastAsia="仿宋" w:cs="仿宋"/>
          <w:b/>
          <w:bCs/>
          <w:color w:val="auto"/>
          <w:kern w:val="0"/>
          <w:sz w:val="32"/>
          <w:szCs w:val="32"/>
          <w:highlight w:val="none"/>
          <w:lang w:val="zh-CN"/>
        </w:rPr>
      </w:pPr>
    </w:p>
    <w:p w14:paraId="5B6F9438">
      <w:pPr>
        <w:spacing w:line="288" w:lineRule="auto"/>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9</w:t>
      </w:r>
      <w:r>
        <w:rPr>
          <w:rFonts w:ascii="仿宋" w:hAnsi="仿宋" w:eastAsia="仿宋" w:cs="仿宋"/>
          <w:b/>
          <w:bCs/>
          <w:color w:val="auto"/>
          <w:sz w:val="32"/>
          <w:szCs w:val="32"/>
          <w:highlight w:val="none"/>
        </w:rPr>
        <w:t>、投标承诺书</w:t>
      </w:r>
    </w:p>
    <w:p w14:paraId="2774079A">
      <w:pPr>
        <w:spacing w:line="288" w:lineRule="auto"/>
        <w:jc w:val="center"/>
        <w:rPr>
          <w:rFonts w:ascii="仿宋" w:hAnsi="仿宋" w:eastAsia="仿宋" w:cs="仿宋"/>
          <w:b/>
          <w:bCs/>
          <w:color w:val="auto"/>
          <w:sz w:val="36"/>
          <w:szCs w:val="36"/>
          <w:highlight w:val="none"/>
        </w:rPr>
      </w:pPr>
    </w:p>
    <w:p w14:paraId="00A4C0A7">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sz w:val="24"/>
          <w:highlight w:val="none"/>
        </w:rPr>
        <w:t>针对本招标项目,我公司郑重承诺:</w:t>
      </w:r>
      <w:r>
        <w:rPr>
          <w:rFonts w:ascii="仿宋" w:hAnsi="仿宋" w:eastAsia="仿宋" w:cs="仿宋"/>
          <w:color w:val="auto"/>
          <w:kern w:val="0"/>
          <w:sz w:val="24"/>
          <w:highlight w:val="none"/>
          <w:lang w:val="zh-CN"/>
        </w:rPr>
        <w:t>本单位自愿参加</w:t>
      </w:r>
      <w:r>
        <w:rPr>
          <w:rFonts w:ascii="仿宋" w:hAnsi="仿宋" w:eastAsia="仿宋" w:cs="仿宋"/>
          <w:color w:val="auto"/>
          <w:sz w:val="24"/>
          <w:highlight w:val="none"/>
          <w:u w:val="single"/>
        </w:rPr>
        <w:t xml:space="preserve">项目  </w:t>
      </w:r>
      <w:r>
        <w:rPr>
          <w:rFonts w:ascii="仿宋" w:hAnsi="仿宋" w:eastAsia="仿宋" w:cs="仿宋"/>
          <w:color w:val="auto"/>
          <w:kern w:val="0"/>
          <w:sz w:val="24"/>
          <w:highlight w:val="none"/>
          <w:lang w:val="zh-CN"/>
        </w:rPr>
        <w:t>（编号：）采购的投标。</w:t>
      </w:r>
    </w:p>
    <w:p w14:paraId="7F8B67B6">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1.本公司承诺参加此次采购活动近三年，在经营活动中没有重大违法记录。</w:t>
      </w:r>
    </w:p>
    <w:p w14:paraId="44BF6977">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2.本公司所投标项填列的技术参数、配置、服务、数量等相关内容都是真实、准确的。</w:t>
      </w:r>
    </w:p>
    <w:p w14:paraId="2255F8E1">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3.本公司保证在本次招标项目中所提供的资料全部真实和合法。</w:t>
      </w:r>
    </w:p>
    <w:p w14:paraId="28DAAB4A">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4.本公司保证绝不采取不正当手段诋毁排挤其他投标人。</w:t>
      </w:r>
    </w:p>
    <w:p w14:paraId="5046A675">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5.本公司保证绝不向招标人、采购单位有关工作人员提供不正当利益,以影响采购结果的公正性。</w:t>
      </w:r>
    </w:p>
    <w:p w14:paraId="646E5B31">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6.同意此次采购文件中的各项内容。</w:t>
      </w:r>
    </w:p>
    <w:p w14:paraId="175685FB">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7.同意提供按照贵方可能要求的与投标有关的一切数据或资料等。</w:t>
      </w:r>
    </w:p>
    <w:p w14:paraId="20E0DAA6">
      <w:pPr>
        <w:spacing w:line="288" w:lineRule="auto"/>
        <w:ind w:firstLine="480"/>
        <w:rPr>
          <w:rFonts w:ascii="仿宋" w:hAnsi="仿宋" w:eastAsia="仿宋" w:cs="仿宋"/>
          <w:color w:val="auto"/>
          <w:kern w:val="0"/>
          <w:sz w:val="24"/>
          <w:highlight w:val="none"/>
        </w:rPr>
      </w:pPr>
      <w:r>
        <w:rPr>
          <w:rFonts w:ascii="仿宋" w:hAnsi="仿宋" w:eastAsia="仿宋" w:cs="仿宋"/>
          <w:color w:val="auto"/>
          <w:kern w:val="0"/>
          <w:sz w:val="24"/>
          <w:highlight w:val="none"/>
          <w:lang w:val="zh-CN"/>
        </w:rPr>
        <w:t>8.本单位如中标，保证按照投标文件的承诺与贵方签订合同，保证履行合同条款并向采购人缴纳履约保证金。</w:t>
      </w:r>
    </w:p>
    <w:p w14:paraId="42813B74">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如有违反以上承诺,本公司愿意接受招标人对投标文件作无效投标的处理,并承担相关的一切责任及后果。</w:t>
      </w:r>
    </w:p>
    <w:p w14:paraId="0EC8237A">
      <w:pPr>
        <w:spacing w:line="288" w:lineRule="auto"/>
        <w:rPr>
          <w:rFonts w:ascii="仿宋" w:hAnsi="仿宋" w:eastAsia="仿宋" w:cs="仿宋"/>
          <w:color w:val="auto"/>
          <w:sz w:val="24"/>
          <w:highlight w:val="none"/>
        </w:rPr>
      </w:pPr>
    </w:p>
    <w:p w14:paraId="753876C0">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投标单位（盖章）：</w:t>
      </w:r>
    </w:p>
    <w:p w14:paraId="441E68DF">
      <w:pPr>
        <w:spacing w:line="288" w:lineRule="auto"/>
        <w:rPr>
          <w:rFonts w:ascii="仿宋" w:hAnsi="仿宋" w:eastAsia="仿宋" w:cs="仿宋"/>
          <w:color w:val="auto"/>
          <w:sz w:val="24"/>
          <w:highlight w:val="none"/>
        </w:rPr>
      </w:pPr>
    </w:p>
    <w:p w14:paraId="3A762F7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法定代表人或其授权代表（签字或盖章）：</w:t>
      </w:r>
    </w:p>
    <w:p w14:paraId="3A6B079B">
      <w:pPr>
        <w:pStyle w:val="75"/>
        <w:spacing w:line="288" w:lineRule="auto"/>
        <w:rPr>
          <w:rFonts w:ascii="仿宋" w:hAnsi="仿宋" w:eastAsia="仿宋" w:cs="仿宋"/>
          <w:color w:val="auto"/>
          <w:sz w:val="24"/>
          <w:highlight w:val="none"/>
        </w:rPr>
      </w:pPr>
    </w:p>
    <w:p w14:paraId="5F0082EA">
      <w:pPr>
        <w:spacing w:line="288" w:lineRule="auto"/>
        <w:rPr>
          <w:rFonts w:ascii="仿宋" w:hAnsi="仿宋" w:eastAsia="仿宋" w:cs="仿宋"/>
          <w:color w:val="auto"/>
          <w:sz w:val="24"/>
          <w:highlight w:val="none"/>
        </w:rPr>
      </w:pPr>
    </w:p>
    <w:p w14:paraId="335551B1">
      <w:pPr>
        <w:spacing w:line="288" w:lineRule="auto"/>
        <w:jc w:val="right"/>
        <w:rPr>
          <w:rFonts w:ascii="仿宋" w:hAnsi="仿宋" w:eastAsia="仿宋" w:cs="仿宋"/>
          <w:color w:val="auto"/>
          <w:highlight w:val="none"/>
        </w:rPr>
      </w:pPr>
      <w:r>
        <w:rPr>
          <w:rFonts w:ascii="仿宋" w:hAnsi="仿宋" w:eastAsia="仿宋" w:cs="仿宋"/>
          <w:color w:val="auto"/>
          <w:sz w:val="24"/>
          <w:highlight w:val="none"/>
        </w:rPr>
        <w:t>日期：    年   月   日</w:t>
      </w:r>
    </w:p>
    <w:p w14:paraId="305CC120">
      <w:pPr>
        <w:spacing w:line="288" w:lineRule="auto"/>
        <w:rPr>
          <w:rFonts w:ascii="仿宋" w:hAnsi="仿宋" w:eastAsia="仿宋" w:cs="仿宋"/>
          <w:color w:val="auto"/>
          <w:highlight w:val="none"/>
        </w:rPr>
      </w:pPr>
    </w:p>
    <w:p w14:paraId="23540802">
      <w:pPr>
        <w:tabs>
          <w:tab w:val="left" w:pos="570"/>
        </w:tabs>
        <w:snapToGrid w:val="0"/>
        <w:spacing w:line="288" w:lineRule="auto"/>
        <w:rPr>
          <w:rFonts w:ascii="仿宋" w:hAnsi="仿宋" w:eastAsia="仿宋" w:cs="仿宋"/>
          <w:b/>
          <w:color w:val="auto"/>
          <w:sz w:val="24"/>
          <w:highlight w:val="none"/>
        </w:rPr>
      </w:pPr>
    </w:p>
    <w:p w14:paraId="4CD9A4D0">
      <w:pPr>
        <w:pStyle w:val="75"/>
        <w:spacing w:line="288" w:lineRule="auto"/>
        <w:ind w:firstLine="482"/>
        <w:rPr>
          <w:rFonts w:ascii="仿宋" w:hAnsi="仿宋" w:eastAsia="仿宋" w:cs="仿宋"/>
          <w:b/>
          <w:color w:val="auto"/>
          <w:sz w:val="24"/>
          <w:highlight w:val="none"/>
        </w:rPr>
      </w:pPr>
    </w:p>
    <w:p w14:paraId="17BEFFCA">
      <w:pPr>
        <w:spacing w:line="288" w:lineRule="auto"/>
        <w:rPr>
          <w:rFonts w:ascii="仿宋" w:hAnsi="仿宋" w:eastAsia="仿宋" w:cs="仿宋"/>
          <w:b/>
          <w:bCs/>
          <w:color w:val="auto"/>
          <w:sz w:val="32"/>
          <w:szCs w:val="32"/>
          <w:highlight w:val="none"/>
        </w:rPr>
      </w:pPr>
    </w:p>
    <w:p w14:paraId="637B625B">
      <w:pPr>
        <w:spacing w:line="288" w:lineRule="auto"/>
        <w:rPr>
          <w:rFonts w:ascii="仿宋" w:hAnsi="仿宋" w:eastAsia="仿宋" w:cs="仿宋"/>
          <w:b/>
          <w:bCs/>
          <w:color w:val="auto"/>
          <w:sz w:val="32"/>
          <w:szCs w:val="32"/>
          <w:highlight w:val="none"/>
        </w:rPr>
      </w:pPr>
    </w:p>
    <w:p w14:paraId="32093BA1">
      <w:pPr>
        <w:spacing w:line="288" w:lineRule="auto"/>
        <w:rPr>
          <w:rFonts w:ascii="仿宋" w:hAnsi="仿宋" w:eastAsia="仿宋" w:cs="仿宋"/>
          <w:b/>
          <w:bCs/>
          <w:color w:val="auto"/>
          <w:sz w:val="32"/>
          <w:szCs w:val="32"/>
          <w:highlight w:val="none"/>
        </w:rPr>
      </w:pPr>
    </w:p>
    <w:p w14:paraId="462D49EF">
      <w:pPr>
        <w:spacing w:line="288" w:lineRule="auto"/>
        <w:rPr>
          <w:rFonts w:ascii="仿宋" w:hAnsi="仿宋" w:eastAsia="仿宋" w:cs="仿宋"/>
          <w:b/>
          <w:bCs/>
          <w:color w:val="auto"/>
          <w:sz w:val="32"/>
          <w:szCs w:val="32"/>
          <w:highlight w:val="none"/>
        </w:rPr>
      </w:pPr>
    </w:p>
    <w:p w14:paraId="2E07C014">
      <w:pPr>
        <w:pStyle w:val="9"/>
        <w:rPr>
          <w:rFonts w:ascii="仿宋" w:hAnsi="仿宋" w:eastAsia="仿宋" w:cs="仿宋"/>
          <w:b/>
          <w:bCs/>
          <w:color w:val="auto"/>
          <w:sz w:val="32"/>
          <w:szCs w:val="32"/>
          <w:highlight w:val="none"/>
        </w:rPr>
      </w:pPr>
    </w:p>
    <w:p w14:paraId="492C7C20">
      <w:pPr>
        <w:spacing w:line="288" w:lineRule="auto"/>
        <w:rPr>
          <w:rFonts w:ascii="仿宋" w:hAnsi="仿宋" w:eastAsia="仿宋" w:cs="仿宋"/>
          <w:b/>
          <w:color w:val="auto"/>
          <w:kern w:val="0"/>
          <w:sz w:val="32"/>
          <w:szCs w:val="32"/>
          <w:highlight w:val="none"/>
          <w:lang w:val="zh-CN"/>
        </w:rPr>
      </w:pPr>
      <w:r>
        <w:rPr>
          <w:rFonts w:ascii="仿宋" w:hAnsi="仿宋" w:eastAsia="仿宋" w:cs="仿宋"/>
          <w:b/>
          <w:bCs/>
          <w:color w:val="auto"/>
          <w:sz w:val="32"/>
          <w:szCs w:val="32"/>
          <w:highlight w:val="none"/>
          <w:lang w:val="en-US" w:eastAsia="zh-CN"/>
        </w:rPr>
        <w:t>10</w:t>
      </w:r>
      <w:r>
        <w:rPr>
          <w:rFonts w:ascii="仿宋" w:hAnsi="仿宋" w:eastAsia="仿宋" w:cs="仿宋"/>
          <w:b/>
          <w:bCs/>
          <w:color w:val="auto"/>
          <w:sz w:val="32"/>
          <w:szCs w:val="32"/>
          <w:highlight w:val="none"/>
        </w:rPr>
        <w:t>、认为需要的</w:t>
      </w:r>
      <w:r>
        <w:rPr>
          <w:rFonts w:ascii="仿宋" w:hAnsi="仿宋" w:eastAsia="仿宋" w:cs="仿宋"/>
          <w:b/>
          <w:color w:val="auto"/>
          <w:kern w:val="0"/>
          <w:sz w:val="32"/>
          <w:szCs w:val="32"/>
          <w:highlight w:val="none"/>
          <w:lang w:val="zh-CN"/>
        </w:rPr>
        <w:t>其他技术文件或说明</w:t>
      </w:r>
    </w:p>
    <w:p w14:paraId="7946942B">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（由投标人根据采购需求自行编制）</w:t>
      </w:r>
    </w:p>
    <w:p w14:paraId="5CDD4319">
      <w:pPr>
        <w:spacing w:line="288" w:lineRule="auto"/>
        <w:rPr>
          <w:rFonts w:ascii="仿宋" w:hAnsi="仿宋" w:eastAsia="仿宋" w:cs="仿宋"/>
          <w:color w:val="auto"/>
          <w:sz w:val="24"/>
          <w:highlight w:val="none"/>
        </w:rPr>
      </w:pPr>
    </w:p>
    <w:p w14:paraId="62F6EF25">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lang w:val="zh-CN"/>
        </w:rPr>
        <w:t xml:space="preserve">投标人名称（公章）：      </w:t>
      </w:r>
    </w:p>
    <w:p w14:paraId="51CB5FDE">
      <w:pPr>
        <w:autoSpaceDE w:val="0"/>
        <w:spacing w:line="288" w:lineRule="auto"/>
        <w:rPr>
          <w:rFonts w:ascii="仿宋" w:hAnsi="仿宋" w:eastAsia="仿宋" w:cs="仿宋"/>
          <w:color w:val="auto"/>
          <w:kern w:val="0"/>
          <w:sz w:val="24"/>
          <w:highlight w:val="none"/>
          <w:lang w:val="zh-CN"/>
        </w:rPr>
      </w:pPr>
    </w:p>
    <w:p w14:paraId="07C5F02A">
      <w:pPr>
        <w:autoSpaceDE w:val="0"/>
        <w:spacing w:line="288" w:lineRule="auto"/>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法定代表人或其授权代表</w:t>
      </w:r>
      <w:r>
        <w:rPr>
          <w:rFonts w:ascii="仿宋" w:hAnsi="仿宋" w:eastAsia="仿宋" w:cs="仿宋"/>
          <w:color w:val="auto"/>
          <w:kern w:val="0"/>
          <w:sz w:val="24"/>
          <w:highlight w:val="none"/>
        </w:rPr>
        <w:t>（签字或盖章）</w:t>
      </w:r>
      <w:r>
        <w:rPr>
          <w:rFonts w:ascii="仿宋" w:hAnsi="仿宋" w:eastAsia="仿宋" w:cs="仿宋"/>
          <w:color w:val="auto"/>
          <w:kern w:val="0"/>
          <w:sz w:val="24"/>
          <w:highlight w:val="none"/>
          <w:lang w:val="zh-CN"/>
        </w:rPr>
        <w:t xml:space="preserve">： </w:t>
      </w:r>
    </w:p>
    <w:p w14:paraId="5D17F390">
      <w:pPr>
        <w:spacing w:line="288" w:lineRule="auto"/>
        <w:rPr>
          <w:rFonts w:ascii="仿宋" w:hAnsi="仿宋" w:eastAsia="仿宋" w:cs="仿宋"/>
          <w:color w:val="auto"/>
          <w:kern w:val="0"/>
          <w:sz w:val="24"/>
          <w:highlight w:val="none"/>
          <w:lang w:val="zh-CN"/>
        </w:rPr>
      </w:pPr>
    </w:p>
    <w:p w14:paraId="65838F3B">
      <w:pPr>
        <w:spacing w:line="288" w:lineRule="auto"/>
        <w:jc w:val="right"/>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日期：  年  月   日</w:t>
      </w:r>
    </w:p>
    <w:p w14:paraId="5872C281">
      <w:pPr>
        <w:spacing w:line="288" w:lineRule="auto"/>
        <w:jc w:val="center"/>
        <w:rPr>
          <w:rFonts w:ascii="仿宋" w:hAnsi="仿宋" w:eastAsia="仿宋" w:cs="仿宋"/>
          <w:b/>
          <w:color w:val="auto"/>
          <w:kern w:val="0"/>
          <w:sz w:val="48"/>
          <w:szCs w:val="48"/>
          <w:highlight w:val="none"/>
          <w:lang w:val="zh-CN"/>
        </w:rPr>
      </w:pPr>
    </w:p>
    <w:p w14:paraId="64D92E0F">
      <w:pPr>
        <w:spacing w:line="288" w:lineRule="auto"/>
        <w:jc w:val="center"/>
        <w:rPr>
          <w:rFonts w:ascii="仿宋" w:hAnsi="仿宋" w:eastAsia="仿宋" w:cs="仿宋"/>
          <w:b/>
          <w:color w:val="auto"/>
          <w:sz w:val="48"/>
          <w:szCs w:val="48"/>
          <w:highlight w:val="none"/>
        </w:rPr>
      </w:pPr>
    </w:p>
    <w:p w14:paraId="2128CA99">
      <w:pPr>
        <w:spacing w:line="288" w:lineRule="auto"/>
        <w:jc w:val="center"/>
        <w:rPr>
          <w:rFonts w:ascii="仿宋" w:hAnsi="仿宋" w:eastAsia="仿宋" w:cs="仿宋"/>
          <w:b/>
          <w:color w:val="auto"/>
          <w:sz w:val="48"/>
          <w:szCs w:val="48"/>
          <w:highlight w:val="none"/>
        </w:rPr>
      </w:pPr>
    </w:p>
    <w:p w14:paraId="3B678B0C">
      <w:pPr>
        <w:spacing w:line="288" w:lineRule="auto"/>
        <w:jc w:val="center"/>
        <w:rPr>
          <w:rFonts w:ascii="仿宋" w:hAnsi="仿宋" w:eastAsia="仿宋" w:cs="仿宋"/>
          <w:b/>
          <w:color w:val="auto"/>
          <w:sz w:val="48"/>
          <w:szCs w:val="48"/>
          <w:highlight w:val="none"/>
        </w:rPr>
      </w:pPr>
    </w:p>
    <w:p w14:paraId="1A69C0B2">
      <w:pPr>
        <w:spacing w:line="288" w:lineRule="auto"/>
        <w:jc w:val="center"/>
        <w:rPr>
          <w:rFonts w:ascii="仿宋" w:hAnsi="仿宋" w:eastAsia="仿宋" w:cs="仿宋"/>
          <w:b/>
          <w:color w:val="auto"/>
          <w:sz w:val="48"/>
          <w:szCs w:val="48"/>
          <w:highlight w:val="none"/>
        </w:rPr>
      </w:pPr>
    </w:p>
    <w:p w14:paraId="12192F96">
      <w:pPr>
        <w:spacing w:line="288" w:lineRule="auto"/>
        <w:jc w:val="center"/>
        <w:rPr>
          <w:rFonts w:ascii="仿宋" w:hAnsi="仿宋" w:eastAsia="仿宋" w:cs="仿宋"/>
          <w:b/>
          <w:color w:val="auto"/>
          <w:sz w:val="48"/>
          <w:szCs w:val="48"/>
          <w:highlight w:val="none"/>
        </w:rPr>
      </w:pPr>
    </w:p>
    <w:p w14:paraId="289BDB41">
      <w:pPr>
        <w:spacing w:line="288" w:lineRule="auto"/>
        <w:jc w:val="center"/>
        <w:rPr>
          <w:rFonts w:ascii="仿宋" w:hAnsi="仿宋" w:eastAsia="仿宋" w:cs="仿宋"/>
          <w:b/>
          <w:color w:val="auto"/>
          <w:sz w:val="48"/>
          <w:szCs w:val="48"/>
          <w:highlight w:val="none"/>
        </w:rPr>
      </w:pPr>
    </w:p>
    <w:p w14:paraId="7324DC99">
      <w:pPr>
        <w:spacing w:line="288" w:lineRule="auto"/>
        <w:jc w:val="center"/>
        <w:rPr>
          <w:rFonts w:ascii="仿宋" w:hAnsi="仿宋" w:eastAsia="仿宋" w:cs="仿宋"/>
          <w:b/>
          <w:color w:val="auto"/>
          <w:sz w:val="48"/>
          <w:szCs w:val="48"/>
          <w:highlight w:val="none"/>
        </w:rPr>
      </w:pPr>
    </w:p>
    <w:p w14:paraId="7E2F1410">
      <w:pPr>
        <w:spacing w:line="288" w:lineRule="auto"/>
        <w:jc w:val="center"/>
        <w:rPr>
          <w:rFonts w:ascii="仿宋" w:hAnsi="仿宋" w:eastAsia="仿宋" w:cs="仿宋"/>
          <w:b/>
          <w:color w:val="auto"/>
          <w:sz w:val="48"/>
          <w:szCs w:val="48"/>
          <w:highlight w:val="none"/>
        </w:rPr>
      </w:pPr>
      <w:r>
        <w:rPr>
          <w:color w:val="auto"/>
          <w:highlight w:val="none"/>
        </w:rPr>
        <w:br w:type="page"/>
      </w:r>
    </w:p>
    <w:p w14:paraId="5ACB7DE4">
      <w:pPr>
        <w:spacing w:line="360" w:lineRule="auto"/>
        <w:rPr>
          <w:rFonts w:ascii="仿宋_GB2312;仿宋" w:hAnsi="仿宋_GB2312;仿宋" w:eastAsia="仿宋_GB2312;仿宋" w:cs="仿宋_GB2312;仿宋"/>
          <w:b/>
          <w:color w:val="auto"/>
          <w:kern w:val="0"/>
          <w:sz w:val="32"/>
          <w:szCs w:val="32"/>
          <w:highlight w:val="none"/>
          <w:lang w:val="zh-CN"/>
        </w:rPr>
      </w:pPr>
      <w:r>
        <w:rPr>
          <w:rFonts w:ascii="仿宋_GB2312;仿宋" w:hAnsi="仿宋_GB2312;仿宋" w:eastAsia="仿宋_GB2312;仿宋" w:cs="仿宋_GB2312;仿宋"/>
          <w:b/>
          <w:color w:val="auto"/>
          <w:kern w:val="0"/>
          <w:sz w:val="32"/>
          <w:szCs w:val="32"/>
          <w:highlight w:val="none"/>
        </w:rPr>
        <w:t>1</w:t>
      </w:r>
      <w:r>
        <w:rPr>
          <w:rFonts w:ascii="仿宋_GB2312;仿宋" w:hAnsi="仿宋_GB2312;仿宋" w:eastAsia="仿宋_GB2312;仿宋" w:cs="仿宋_GB2312;仿宋"/>
          <w:b/>
          <w:color w:val="auto"/>
          <w:kern w:val="0"/>
          <w:sz w:val="32"/>
          <w:szCs w:val="32"/>
          <w:highlight w:val="none"/>
          <w:lang w:val="en-US" w:eastAsia="zh-CN"/>
        </w:rPr>
        <w:t>1</w:t>
      </w:r>
      <w:r>
        <w:rPr>
          <w:rFonts w:ascii="仿宋_GB2312;仿宋" w:hAnsi="仿宋_GB2312;仿宋" w:eastAsia="仿宋_GB2312;仿宋" w:cs="仿宋_GB2312;仿宋"/>
          <w:b/>
          <w:color w:val="auto"/>
          <w:kern w:val="0"/>
          <w:sz w:val="32"/>
          <w:szCs w:val="32"/>
          <w:highlight w:val="none"/>
          <w:lang w:val="zh-CN"/>
        </w:rPr>
        <w:t>、落实政府采购政策需满足的资格要求</w:t>
      </w:r>
    </w:p>
    <w:p w14:paraId="742E0ABC">
      <w:pPr>
        <w:spacing w:line="440" w:lineRule="exact"/>
        <w:rPr>
          <w:rFonts w:ascii="仿宋_GB2312;仿宋" w:hAnsi="仿宋_GB2312;仿宋" w:eastAsia="仿宋_GB2312;仿宋" w:cs="仿宋"/>
          <w:b/>
          <w:color w:val="auto"/>
          <w:sz w:val="24"/>
          <w:highlight w:val="none"/>
        </w:rPr>
      </w:pPr>
      <w:r>
        <w:rPr>
          <w:rFonts w:ascii="仿宋_GB2312;仿宋" w:hAnsi="仿宋_GB2312;仿宋" w:eastAsia="仿宋_GB2312;仿宋" w:cs="仿宋_GB2312;仿宋"/>
          <w:b/>
          <w:color w:val="auto"/>
          <w:sz w:val="24"/>
          <w:highlight w:val="none"/>
        </w:rPr>
        <w:t>（根据招标公告</w:t>
      </w:r>
      <w:r>
        <w:rPr>
          <w:rFonts w:ascii="仿宋_GB2312;仿宋" w:hAnsi="仿宋_GB2312;仿宋" w:eastAsia="仿宋_GB2312;仿宋" w:cs="仿宋"/>
          <w:b/>
          <w:color w:val="auto"/>
          <w:sz w:val="24"/>
          <w:highlight w:val="none"/>
        </w:rPr>
        <w:t>落实政府采购政策需满足的资格要求选择提供相应的材料；未要求的，无需提供</w:t>
      </w:r>
      <w:r>
        <w:rPr>
          <w:rFonts w:ascii="仿宋_GB2312;仿宋" w:hAnsi="仿宋_GB2312;仿宋" w:eastAsia="仿宋_GB2312;仿宋" w:cs="仿宋_GB2312;仿宋"/>
          <w:b/>
          <w:color w:val="auto"/>
          <w:sz w:val="24"/>
          <w:highlight w:val="none"/>
        </w:rPr>
        <w:t>）</w:t>
      </w:r>
    </w:p>
    <w:p w14:paraId="6A621DC4">
      <w:pPr>
        <w:snapToGrid w:val="0"/>
        <w:spacing w:line="440" w:lineRule="exact"/>
        <w:ind w:firstLine="472"/>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b/>
          <w:color w:val="auto"/>
          <w:sz w:val="24"/>
          <w:highlight w:val="none"/>
        </w:rPr>
        <w:t>A</w:t>
      </w:r>
      <w:r>
        <w:rPr>
          <w:rFonts w:ascii="仿宋_GB2312;仿宋" w:hAnsi="仿宋_GB2312;仿宋" w:eastAsia="仿宋_GB2312;仿宋" w:cs="仿宋_GB2312;仿宋"/>
          <w:color w:val="auto"/>
          <w:sz w:val="24"/>
          <w:highlight w:val="none"/>
        </w:rPr>
        <w:t>.专门面向中小企业，货物全部由符合政策要求的中小企业（或小微企业）制造或者服务全部由符合政策要求的中小企业（或小微企业）承接的，提供相应的</w:t>
      </w:r>
      <w:r>
        <w:rPr>
          <w:rFonts w:ascii="仿宋_GB2312;仿宋" w:hAnsi="仿宋_GB2312;仿宋" w:eastAsia="仿宋_GB2312;仿宋" w:cs="仿宋_GB2312;仿宋"/>
          <w:b/>
          <w:color w:val="auto"/>
          <w:sz w:val="24"/>
          <w:highlight w:val="none"/>
        </w:rPr>
        <w:t>中小企业声明函</w:t>
      </w:r>
      <w:r>
        <w:rPr>
          <w:rFonts w:ascii="仿宋_GB2312;仿宋" w:hAnsi="仿宋_GB2312;仿宋" w:eastAsia="仿宋_GB2312;仿宋" w:cs="仿宋_GB2312;仿宋"/>
          <w:color w:val="auto"/>
          <w:sz w:val="24"/>
          <w:highlight w:val="none"/>
        </w:rPr>
        <w:t>（附件）。</w:t>
      </w:r>
    </w:p>
    <w:p w14:paraId="16668916">
      <w:pPr>
        <w:widowControl/>
        <w:spacing w:line="440" w:lineRule="exact"/>
        <w:ind w:firstLine="472"/>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b/>
          <w:color w:val="auto"/>
          <w:sz w:val="24"/>
          <w:highlight w:val="none"/>
        </w:rPr>
        <w:t>B.</w:t>
      </w:r>
      <w:r>
        <w:rPr>
          <w:rFonts w:ascii="仿宋_GB2312;仿宋" w:hAnsi="仿宋_GB2312;仿宋" w:eastAsia="仿宋_GB2312;仿宋" w:cs="仿宋_GB2312;仿宋"/>
          <w:color w:val="auto"/>
          <w:sz w:val="24"/>
          <w:highlight w:val="none"/>
        </w:rPr>
        <w:t>要求以联合体形式参加的，提供联合协议和</w:t>
      </w:r>
      <w:r>
        <w:rPr>
          <w:rFonts w:ascii="仿宋_GB2312;仿宋" w:hAnsi="仿宋_GB2312;仿宋" w:eastAsia="仿宋_GB2312;仿宋" w:cs="仿宋_GB2312;仿宋"/>
          <w:b/>
          <w:color w:val="auto"/>
          <w:sz w:val="24"/>
          <w:highlight w:val="none"/>
        </w:rPr>
        <w:t>中小企业声明函</w:t>
      </w:r>
      <w:r>
        <w:rPr>
          <w:rFonts w:ascii="仿宋_GB2312;仿宋" w:hAnsi="仿宋_GB2312;仿宋" w:eastAsia="仿宋_GB2312;仿宋" w:cs="仿宋_GB2312;仿宋"/>
          <w:color w:val="auto"/>
          <w:sz w:val="24"/>
          <w:highlight w:val="none"/>
        </w:rPr>
        <w:t>（附件），联合协议中中小企业合同金额应当达到招标公告载明的比例；如果供应商本身提供所有标的均由中小企业制造或承接的，视同符合了资格条件，无需再与其他中小企业组成联合体参加政府采购活动，无需提供联合协议。</w:t>
      </w:r>
    </w:p>
    <w:p w14:paraId="3C7E00CF">
      <w:pPr>
        <w:snapToGrid w:val="0"/>
        <w:spacing w:before="50" w:after="50" w:line="360" w:lineRule="auto"/>
        <w:jc w:val="left"/>
        <w:rPr>
          <w:rFonts w:ascii="仿宋_GB2312;仿宋" w:hAnsi="仿宋_GB2312;仿宋" w:eastAsia="仿宋_GB2312;仿宋" w:cs="仿宋_GB2312;仿宋"/>
          <w:b/>
          <w:color w:val="auto"/>
          <w:kern w:val="0"/>
          <w:sz w:val="32"/>
          <w:szCs w:val="32"/>
          <w:highlight w:val="none"/>
          <w:lang w:val="zh-CN"/>
        </w:rPr>
      </w:pPr>
      <w:r>
        <w:rPr>
          <w:rFonts w:ascii="仿宋_GB2312;仿宋" w:hAnsi="仿宋_GB2312;仿宋" w:eastAsia="仿宋_GB2312;仿宋" w:cs="仿宋_GB2312;仿宋"/>
          <w:b/>
          <w:color w:val="auto"/>
          <w:sz w:val="24"/>
          <w:highlight w:val="none"/>
          <w:lang w:val="en-US" w:eastAsia="zh-CN"/>
        </w:rPr>
        <w:t xml:space="preserve">    </w:t>
      </w:r>
      <w:r>
        <w:rPr>
          <w:rFonts w:ascii="仿宋_GB2312;仿宋" w:hAnsi="仿宋_GB2312;仿宋" w:eastAsia="仿宋_GB2312;仿宋" w:cs="仿宋_GB2312;仿宋"/>
          <w:b/>
          <w:color w:val="auto"/>
          <w:sz w:val="24"/>
          <w:highlight w:val="none"/>
        </w:rPr>
        <w:t>C、</w:t>
      </w:r>
      <w:r>
        <w:rPr>
          <w:rFonts w:ascii="仿宋_GB2312;仿宋" w:hAnsi="仿宋_GB2312;仿宋" w:eastAsia="仿宋_GB2312;仿宋" w:cs="仿宋_GB2312;仿宋"/>
          <w:color w:val="auto"/>
          <w:sz w:val="24"/>
          <w:highlight w:val="none"/>
        </w:rPr>
        <w:t>要求合同分包的，提供分包意向协议和</w:t>
      </w:r>
      <w:r>
        <w:rPr>
          <w:rFonts w:ascii="仿宋_GB2312;仿宋" w:hAnsi="仿宋_GB2312;仿宋" w:eastAsia="仿宋_GB2312;仿宋" w:cs="仿宋_GB2312;仿宋"/>
          <w:b/>
          <w:color w:val="auto"/>
          <w:sz w:val="24"/>
          <w:highlight w:val="none"/>
        </w:rPr>
        <w:t>中小企业声明函（附件）</w:t>
      </w:r>
      <w:r>
        <w:rPr>
          <w:rFonts w:ascii="仿宋_GB2312;仿宋" w:hAnsi="仿宋_GB2312;仿宋" w:eastAsia="仿宋_GB2312;仿宋" w:cs="仿宋_GB2312;仿宋"/>
          <w:color w:val="auto"/>
          <w:sz w:val="24"/>
          <w:highlight w:val="none"/>
        </w:rPr>
        <w:t>，分包意向协议中中小企业合同金额应当达到招标公告载明的比例；如果供应商本身提供所有标的均由中小企业制造或承接，视同符合了资格条件，无需再向中小企业分包，无需提供分包意向协议。</w:t>
      </w:r>
    </w:p>
    <w:p w14:paraId="09D7934D">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6E907C57">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2ABE9D9E">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083CA334">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4550BE78">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12ACAC22">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5E7A5EB3">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601DA4E3">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07B1BFC1">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5E058B46">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268050B2">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2FD7E599">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r>
        <w:rPr>
          <w:rFonts w:ascii="仿宋_GB2312;仿宋" w:hAnsi="仿宋_GB2312;仿宋" w:eastAsia="仿宋_GB2312;仿宋" w:cs="仿宋_GB2312;仿宋"/>
          <w:b/>
          <w:color w:val="auto"/>
          <w:kern w:val="0"/>
          <w:sz w:val="32"/>
          <w:szCs w:val="32"/>
          <w:highlight w:val="none"/>
          <w:lang w:val="zh-CN"/>
        </w:rPr>
        <w:t>联合协议</w:t>
      </w:r>
    </w:p>
    <w:p w14:paraId="1C71B7A4">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u w:val="single"/>
        </w:rPr>
        <w:t>（联合体所有成员名称）</w:t>
      </w:r>
      <w:r>
        <w:rPr>
          <w:rFonts w:ascii="仿宋_GB2312;仿宋" w:hAnsi="仿宋_GB2312;仿宋" w:eastAsia="仿宋_GB2312;仿宋" w:cs="仿宋_GB2312;仿宋"/>
          <w:color w:val="auto"/>
          <w:kern w:val="0"/>
          <w:sz w:val="24"/>
          <w:highlight w:val="none"/>
        </w:rPr>
        <w:t>自愿</w:t>
      </w:r>
      <w:r>
        <w:rPr>
          <w:rFonts w:ascii="仿宋_GB2312;仿宋" w:hAnsi="仿宋_GB2312;仿宋" w:eastAsia="仿宋_GB2312;仿宋" w:cs="仿宋_GB2312;仿宋"/>
          <w:color w:val="auto"/>
          <w:kern w:val="0"/>
          <w:sz w:val="24"/>
          <w:highlight w:val="none"/>
          <w:lang w:val="zh-CN"/>
        </w:rPr>
        <w:t>组成一个联合体，以一个投标人的身份</w:t>
      </w:r>
      <w:r>
        <w:rPr>
          <w:rFonts w:ascii="仿宋_GB2312;仿宋" w:hAnsi="仿宋_GB2312;仿宋" w:eastAsia="仿宋_GB2312;仿宋" w:cs="仿宋_GB2312;仿宋"/>
          <w:color w:val="auto"/>
          <w:kern w:val="0"/>
          <w:sz w:val="24"/>
          <w:highlight w:val="none"/>
        </w:rPr>
        <w:t>参加</w:t>
      </w:r>
      <w:r>
        <w:rPr>
          <w:rFonts w:ascii="仿宋_GB2312;仿宋" w:hAnsi="仿宋_GB2312;仿宋" w:eastAsia="仿宋_GB2312;仿宋" w:cs="仿宋_GB2312;仿宋"/>
          <w:color w:val="auto"/>
          <w:sz w:val="24"/>
          <w:highlight w:val="none"/>
        </w:rPr>
        <w:t>（项目名称）【招标编号：</w:t>
      </w:r>
      <w:r>
        <w:rPr>
          <w:rFonts w:ascii="仿宋_GB2312;仿宋" w:hAnsi="仿宋_GB2312;仿宋" w:eastAsia="仿宋_GB2312;仿宋" w:cs="仿宋"/>
          <w:color w:val="auto"/>
          <w:sz w:val="24"/>
          <w:highlight w:val="none"/>
        </w:rPr>
        <w:t>（采购编号）</w:t>
      </w: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color w:val="auto"/>
          <w:kern w:val="0"/>
          <w:sz w:val="24"/>
          <w:highlight w:val="none"/>
          <w:lang w:val="zh-CN"/>
        </w:rPr>
        <w:t>投标。</w:t>
      </w:r>
    </w:p>
    <w:p w14:paraId="227E696E">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一、各方一致决定，</w:t>
      </w:r>
      <w:r>
        <w:rPr>
          <w:rFonts w:ascii="仿宋_GB2312;仿宋" w:hAnsi="仿宋_GB2312;仿宋" w:eastAsia="仿宋_GB2312;仿宋" w:cs="仿宋_GB2312;仿宋"/>
          <w:color w:val="auto"/>
          <w:kern w:val="0"/>
          <w:sz w:val="24"/>
          <w:highlight w:val="none"/>
          <w:u w:val="single"/>
        </w:rPr>
        <w:t>（某联合体成员名称）</w:t>
      </w:r>
      <w:r>
        <w:rPr>
          <w:rFonts w:ascii="仿宋_GB2312;仿宋" w:hAnsi="仿宋_GB2312;仿宋" w:eastAsia="仿宋_GB2312;仿宋" w:cs="仿宋_GB2312;仿宋"/>
          <w:color w:val="auto"/>
          <w:kern w:val="0"/>
          <w:sz w:val="24"/>
          <w:highlight w:val="none"/>
        </w:rPr>
        <w:t>为联合体</w:t>
      </w:r>
      <w:r>
        <w:rPr>
          <w:rFonts w:ascii="仿宋_GB2312;仿宋" w:hAnsi="仿宋_GB2312;仿宋" w:eastAsia="仿宋_GB2312;仿宋" w:cs="仿宋_GB2312;仿宋"/>
          <w:color w:val="auto"/>
          <w:kern w:val="0"/>
          <w:sz w:val="24"/>
          <w:highlight w:val="none"/>
          <w:lang w:val="zh-CN"/>
        </w:rPr>
        <w:t>牵头人</w:t>
      </w:r>
      <w:r>
        <w:rPr>
          <w:rFonts w:ascii="仿宋_GB2312;仿宋" w:hAnsi="仿宋_GB2312;仿宋" w:eastAsia="仿宋_GB2312;仿宋" w:cs="Arial"/>
          <w:color w:val="auto"/>
          <w:sz w:val="24"/>
          <w:highlight w:val="none"/>
        </w:rPr>
        <w:t>，代表所有联合体成员负责投标和合同实施阶段的主办、协调工作</w:t>
      </w:r>
      <w:r>
        <w:rPr>
          <w:rFonts w:ascii="仿宋_GB2312;仿宋" w:hAnsi="仿宋_GB2312;仿宋" w:eastAsia="仿宋_GB2312;仿宋" w:cs="仿宋_GB2312;仿宋"/>
          <w:color w:val="auto"/>
          <w:kern w:val="0"/>
          <w:sz w:val="24"/>
          <w:highlight w:val="none"/>
          <w:lang w:val="zh-CN"/>
        </w:rPr>
        <w:t>。</w:t>
      </w:r>
    </w:p>
    <w:p w14:paraId="7E074A2A">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二、</w:t>
      </w:r>
      <w:r>
        <w:rPr>
          <w:rFonts w:ascii="仿宋_GB2312;仿宋" w:hAnsi="仿宋_GB2312;仿宋" w:eastAsia="仿宋_GB2312;仿宋" w:cs="Arial"/>
          <w:color w:val="auto"/>
          <w:sz w:val="24"/>
          <w:highlight w:val="none"/>
        </w:rPr>
        <w:t>所有联合体成员各方签署授权书，授权书载明的</w:t>
      </w:r>
      <w:r>
        <w:rPr>
          <w:rFonts w:ascii="仿宋_GB2312;仿宋" w:hAnsi="仿宋_GB2312;仿宋" w:eastAsia="仿宋_GB2312;仿宋" w:cs="仿宋_GB2312;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4752F14A">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三、本次联合投标中，分工如下：</w:t>
      </w:r>
      <w:r>
        <w:rPr>
          <w:rFonts w:ascii="仿宋_GB2312;仿宋" w:hAnsi="仿宋_GB2312;仿宋" w:eastAsia="仿宋_GB2312;仿宋" w:cs="仿宋_GB2312;仿宋"/>
          <w:color w:val="auto"/>
          <w:kern w:val="0"/>
          <w:sz w:val="24"/>
          <w:highlight w:val="none"/>
          <w:u w:val="single"/>
        </w:rPr>
        <w:t>（联合体其中一方成员名称）</w:t>
      </w:r>
      <w:r>
        <w:rPr>
          <w:rFonts w:ascii="仿宋_GB2312;仿宋" w:hAnsi="仿宋_GB2312;仿宋" w:eastAsia="仿宋_GB2312;仿宋" w:cs="仿宋_GB2312;仿宋"/>
          <w:color w:val="auto"/>
          <w:kern w:val="0"/>
          <w:sz w:val="24"/>
          <w:highlight w:val="none"/>
          <w:lang w:val="zh-CN"/>
        </w:rPr>
        <w:t>承担的工作和义务为：；</w:t>
      </w:r>
      <w:r>
        <w:rPr>
          <w:rFonts w:ascii="仿宋_GB2312;仿宋" w:hAnsi="仿宋_GB2312;仿宋" w:eastAsia="仿宋_GB2312;仿宋" w:cs="仿宋_GB2312;仿宋"/>
          <w:color w:val="auto"/>
          <w:kern w:val="0"/>
          <w:sz w:val="24"/>
          <w:highlight w:val="none"/>
          <w:u w:val="single"/>
        </w:rPr>
        <w:t>（联合体其中一方成员名称）</w:t>
      </w:r>
      <w:r>
        <w:rPr>
          <w:rFonts w:ascii="仿宋_GB2312;仿宋" w:hAnsi="仿宋_GB2312;仿宋" w:eastAsia="仿宋_GB2312;仿宋" w:cs="仿宋_GB2312;仿宋"/>
          <w:color w:val="auto"/>
          <w:kern w:val="0"/>
          <w:sz w:val="24"/>
          <w:highlight w:val="none"/>
          <w:lang w:val="zh-CN"/>
        </w:rPr>
        <w:t>承担的工作和义务为： ；……。</w:t>
      </w:r>
    </w:p>
    <w:p w14:paraId="6F37BA38">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四、</w:t>
      </w:r>
      <w:r>
        <w:rPr>
          <w:rFonts w:ascii="仿宋_GB2312;仿宋" w:hAnsi="仿宋_GB2312;仿宋" w:eastAsia="仿宋_GB2312;仿宋" w:cs="仿宋"/>
          <w:color w:val="auto"/>
          <w:sz w:val="24"/>
          <w:highlight w:val="none"/>
        </w:rPr>
        <w:t>中小企业合同金额达到%，小微企业合同金额达到%</w:t>
      </w:r>
      <w:r>
        <w:rPr>
          <w:rFonts w:ascii="仿宋_GB2312;仿宋" w:hAnsi="仿宋_GB2312;仿宋" w:eastAsia="仿宋_GB2312;仿宋" w:cs="仿宋_GB2312;仿宋"/>
          <w:color w:val="auto"/>
          <w:kern w:val="0"/>
          <w:sz w:val="24"/>
          <w:highlight w:val="none"/>
          <w:lang w:val="zh-CN"/>
        </w:rPr>
        <w:t>。</w:t>
      </w:r>
    </w:p>
    <w:p w14:paraId="5DC2F840">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五、如果中标，</w:t>
      </w:r>
      <w:r>
        <w:rPr>
          <w:rFonts w:ascii="仿宋_GB2312;仿宋" w:hAnsi="仿宋_GB2312;仿宋" w:eastAsia="仿宋_GB2312;仿宋" w:cs="仿宋"/>
          <w:color w:val="auto"/>
          <w:sz w:val="24"/>
          <w:highlight w:val="none"/>
        </w:rPr>
        <w:t>联合体各成员方共同与采购人签订合同，并就采购合同约定的事项对采购人承担连带责任。</w:t>
      </w:r>
    </w:p>
    <w:p w14:paraId="426331F2">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六、有关本次联合投标的其他事宜：</w:t>
      </w:r>
    </w:p>
    <w:p w14:paraId="26C93614">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1、联合体各方不再单独参加或者与其他供应商另外组成联合体参加同一合同项下的政府采购活动。</w:t>
      </w:r>
    </w:p>
    <w:p w14:paraId="570AEE1D">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2、联合体中有同类资质的各方按照联合体分工承担相同工作的，按照资质等级较低的供应商确定资质等级。</w:t>
      </w:r>
    </w:p>
    <w:p w14:paraId="48EB7D4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3、本协议提交采购人、采购机构后，联合体各方不得以任何形式对上述内容进行修改或撤销。</w:t>
      </w:r>
    </w:p>
    <w:p w14:paraId="351A6E3B">
      <w:pPr>
        <w:snapToGrid w:val="0"/>
        <w:spacing w:line="360" w:lineRule="auto"/>
        <w:jc w:val="right"/>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联合体成员名称(电子签名/公章)：</w:t>
      </w:r>
    </w:p>
    <w:p w14:paraId="57CFD1F1">
      <w:pPr>
        <w:snapToGrid w:val="0"/>
        <w:spacing w:line="360" w:lineRule="auto"/>
        <w:jc w:val="right"/>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联合体成员名称(电子签名/公章)：</w:t>
      </w:r>
    </w:p>
    <w:p w14:paraId="61364201">
      <w:pPr>
        <w:snapToGrid w:val="0"/>
        <w:spacing w:line="360" w:lineRule="auto"/>
        <w:ind w:firstLine="5760"/>
        <w:jc w:val="center"/>
        <w:rPr>
          <w:color w:val="auto"/>
          <w:highlight w:val="none"/>
        </w:rPr>
      </w:pPr>
      <w:r>
        <w:rPr>
          <w:rFonts w:ascii="仿宋_GB2312;仿宋" w:hAnsi="仿宋_GB2312;仿宋" w:eastAsia="仿宋_GB2312;仿宋" w:cs="仿宋_GB2312;仿宋"/>
          <w:color w:val="auto"/>
          <w:kern w:val="0"/>
          <w:sz w:val="24"/>
          <w:highlight w:val="none"/>
          <w:lang w:val="zh-CN"/>
        </w:rPr>
        <w:t>……</w:t>
      </w:r>
    </w:p>
    <w:p w14:paraId="1FF046D8">
      <w:pPr>
        <w:snapToGrid w:val="0"/>
        <w:spacing w:line="360" w:lineRule="auto"/>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 xml:space="preserve">                                               日期：  年  月   日</w:t>
      </w:r>
    </w:p>
    <w:p w14:paraId="67FC1FEE">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71142C7A">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62279920">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373CC8A6">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4C47879F">
      <w:pPr>
        <w:snapToGrid w:val="0"/>
        <w:spacing w:line="360" w:lineRule="auto"/>
        <w:rPr>
          <w:rFonts w:ascii="仿宋_GB2312;仿宋" w:hAnsi="仿宋_GB2312;仿宋" w:eastAsia="仿宋_GB2312;仿宋" w:cs="仿宋_GB2312;仿宋"/>
          <w:b/>
          <w:color w:val="auto"/>
          <w:kern w:val="0"/>
          <w:sz w:val="32"/>
          <w:szCs w:val="32"/>
          <w:highlight w:val="none"/>
          <w:lang w:val="zh-CN"/>
        </w:rPr>
      </w:pPr>
    </w:p>
    <w:p w14:paraId="6273B560">
      <w:pPr>
        <w:snapToGrid w:val="0"/>
        <w:spacing w:line="360" w:lineRule="auto"/>
        <w:jc w:val="center"/>
        <w:rPr>
          <w:rFonts w:ascii="仿宋_GB2312;仿宋" w:hAnsi="仿宋_GB2312;仿宋" w:eastAsia="仿宋_GB2312;仿宋" w:cs="仿宋_GB2312;仿宋"/>
          <w:b/>
          <w:color w:val="auto"/>
          <w:kern w:val="0"/>
          <w:sz w:val="32"/>
          <w:szCs w:val="32"/>
          <w:highlight w:val="none"/>
        </w:rPr>
      </w:pPr>
      <w:r>
        <w:rPr>
          <w:rFonts w:ascii="仿宋_GB2312;仿宋" w:hAnsi="仿宋_GB2312;仿宋" w:eastAsia="仿宋_GB2312;仿宋" w:cs="仿宋_GB2312;仿宋"/>
          <w:b/>
          <w:color w:val="auto"/>
          <w:kern w:val="0"/>
          <w:sz w:val="32"/>
          <w:szCs w:val="32"/>
          <w:highlight w:val="none"/>
        </w:rPr>
        <w:t>分包意向协议</w:t>
      </w:r>
    </w:p>
    <w:p w14:paraId="477A5EC9">
      <w:pPr>
        <w:widowControl/>
        <w:spacing w:line="360" w:lineRule="auto"/>
        <w:ind w:firstLine="12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b/>
          <w:color w:val="auto"/>
          <w:sz w:val="24"/>
          <w:highlight w:val="none"/>
        </w:rPr>
        <w:t>中标后以分包方式履行合同的，提供分包意向协议；采购人不同意分包或者投标人中标后不以分包方式履行合同的，则不需要提供</w:t>
      </w:r>
      <w:r>
        <w:rPr>
          <w:rFonts w:ascii="仿宋_GB2312;仿宋" w:hAnsi="仿宋_GB2312;仿宋" w:eastAsia="仿宋_GB2312;仿宋" w:cs="仿宋_GB2312;仿宋"/>
          <w:color w:val="auto"/>
          <w:sz w:val="24"/>
          <w:highlight w:val="none"/>
        </w:rPr>
        <w:t>）</w:t>
      </w:r>
    </w:p>
    <w:p w14:paraId="1FA862FF">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u w:val="single"/>
        </w:rPr>
        <w:t>（投标人名称）</w:t>
      </w:r>
      <w:r>
        <w:rPr>
          <w:rFonts w:ascii="仿宋_GB2312;仿宋" w:hAnsi="仿宋_GB2312;仿宋" w:eastAsia="仿宋_GB2312;仿宋" w:cs="仿宋_GB2312;仿宋"/>
          <w:color w:val="auto"/>
          <w:kern w:val="0"/>
          <w:sz w:val="24"/>
          <w:highlight w:val="none"/>
          <w:lang w:val="zh-CN"/>
        </w:rPr>
        <w:t>若成为</w:t>
      </w:r>
      <w:r>
        <w:rPr>
          <w:rFonts w:ascii="仿宋_GB2312;仿宋" w:hAnsi="仿宋_GB2312;仿宋" w:eastAsia="仿宋_GB2312;仿宋" w:cs="仿宋_GB2312;仿宋"/>
          <w:color w:val="auto"/>
          <w:sz w:val="24"/>
          <w:highlight w:val="none"/>
        </w:rPr>
        <w:t>（项目名称）【招标编号：</w:t>
      </w:r>
      <w:r>
        <w:rPr>
          <w:rFonts w:ascii="仿宋_GB2312;仿宋" w:hAnsi="仿宋_GB2312;仿宋" w:eastAsia="仿宋_GB2312;仿宋" w:cs="仿宋"/>
          <w:color w:val="auto"/>
          <w:sz w:val="24"/>
          <w:highlight w:val="none"/>
        </w:rPr>
        <w:t>（采购编号）</w:t>
      </w: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color w:val="auto"/>
          <w:kern w:val="0"/>
          <w:sz w:val="24"/>
          <w:highlight w:val="none"/>
          <w:lang w:val="zh-CN"/>
        </w:rPr>
        <w:t>的中标供应商，将依法采取分包方式履行合同。</w:t>
      </w:r>
      <w:r>
        <w:rPr>
          <w:rFonts w:ascii="仿宋_GB2312;仿宋" w:hAnsi="仿宋_GB2312;仿宋" w:eastAsia="仿宋_GB2312;仿宋" w:cs="仿宋_GB2312;仿宋"/>
          <w:color w:val="auto"/>
          <w:kern w:val="0"/>
          <w:sz w:val="24"/>
          <w:highlight w:val="none"/>
          <w:u w:val="single"/>
        </w:rPr>
        <w:t>（投标人名称）</w:t>
      </w:r>
      <w:r>
        <w:rPr>
          <w:rFonts w:ascii="仿宋_GB2312;仿宋" w:hAnsi="仿宋_GB2312;仿宋" w:eastAsia="仿宋_GB2312;仿宋" w:cs="仿宋_GB2312;仿宋"/>
          <w:color w:val="auto"/>
          <w:kern w:val="0"/>
          <w:sz w:val="24"/>
          <w:highlight w:val="none"/>
        </w:rPr>
        <w:t>与</w:t>
      </w:r>
      <w:r>
        <w:rPr>
          <w:rFonts w:ascii="仿宋_GB2312;仿宋" w:hAnsi="仿宋_GB2312;仿宋" w:eastAsia="仿宋_GB2312;仿宋" w:cs="仿宋_GB2312;仿宋"/>
          <w:color w:val="auto"/>
          <w:kern w:val="0"/>
          <w:sz w:val="24"/>
          <w:highlight w:val="none"/>
          <w:u w:val="single"/>
        </w:rPr>
        <w:t>（所有分包供应商名称）</w:t>
      </w:r>
      <w:r>
        <w:rPr>
          <w:rFonts w:ascii="仿宋_GB2312;仿宋" w:hAnsi="仿宋_GB2312;仿宋" w:eastAsia="仿宋_GB2312;仿宋" w:cs="仿宋_GB2312;仿宋"/>
          <w:color w:val="auto"/>
          <w:kern w:val="0"/>
          <w:sz w:val="24"/>
          <w:highlight w:val="none"/>
        </w:rPr>
        <w:t>达成分包意向协议</w:t>
      </w:r>
      <w:r>
        <w:rPr>
          <w:rFonts w:ascii="仿宋_GB2312;仿宋" w:hAnsi="仿宋_GB2312;仿宋" w:eastAsia="仿宋_GB2312;仿宋" w:cs="仿宋_GB2312;仿宋"/>
          <w:color w:val="auto"/>
          <w:kern w:val="0"/>
          <w:sz w:val="24"/>
          <w:highlight w:val="none"/>
          <w:lang w:val="zh-CN"/>
        </w:rPr>
        <w:t>。</w:t>
      </w:r>
    </w:p>
    <w:p w14:paraId="29621999">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一、分包标的及数量</w:t>
      </w:r>
    </w:p>
    <w:p w14:paraId="685C7FD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u w:val="single"/>
        </w:rPr>
        <w:t>（投标人名称）</w:t>
      </w:r>
      <w:r>
        <w:rPr>
          <w:rFonts w:ascii="仿宋_GB2312;仿宋" w:hAnsi="仿宋_GB2312;仿宋" w:eastAsia="仿宋_GB2312;仿宋" w:cs="仿宋_GB2312;仿宋"/>
          <w:color w:val="auto"/>
          <w:kern w:val="0"/>
          <w:sz w:val="24"/>
          <w:highlight w:val="none"/>
          <w:lang w:val="zh-CN"/>
        </w:rPr>
        <w:t>将</w:t>
      </w:r>
      <w:r>
        <w:rPr>
          <w:rFonts w:ascii="仿宋_GB2312;仿宋" w:hAnsi="仿宋_GB2312;仿宋" w:eastAsia="仿宋_GB2312;仿宋" w:cs="仿宋"/>
          <w:color w:val="auto"/>
          <w:highlight w:val="none"/>
          <w:u w:val="single"/>
        </w:rPr>
        <w:t xml:space="preserve">   XX工作内容   </w:t>
      </w:r>
      <w:r>
        <w:rPr>
          <w:rFonts w:ascii="仿宋_GB2312;仿宋" w:hAnsi="仿宋_GB2312;仿宋" w:eastAsia="仿宋_GB2312;仿宋" w:cs="Arial"/>
          <w:color w:val="auto"/>
          <w:sz w:val="24"/>
          <w:highlight w:val="none"/>
        </w:rPr>
        <w:t>分包给</w:t>
      </w:r>
      <w:r>
        <w:rPr>
          <w:rFonts w:ascii="仿宋_GB2312;仿宋" w:hAnsi="仿宋_GB2312;仿宋" w:eastAsia="仿宋_GB2312;仿宋" w:cs="仿宋_GB2312;仿宋"/>
          <w:color w:val="auto"/>
          <w:kern w:val="0"/>
          <w:sz w:val="24"/>
          <w:highlight w:val="none"/>
          <w:u w:val="single"/>
        </w:rPr>
        <w:t>（某分包供应商名称）</w:t>
      </w:r>
      <w:r>
        <w:rPr>
          <w:rFonts w:ascii="仿宋_GB2312;仿宋" w:hAnsi="仿宋_GB2312;仿宋" w:eastAsia="仿宋_GB2312;仿宋" w:cs="仿宋_GB2312;仿宋"/>
          <w:color w:val="auto"/>
          <w:kern w:val="0"/>
          <w:sz w:val="24"/>
          <w:highlight w:val="none"/>
          <w:lang w:val="zh-CN"/>
        </w:rPr>
        <w:t>，</w:t>
      </w:r>
      <w:r>
        <w:rPr>
          <w:rFonts w:ascii="仿宋_GB2312;仿宋" w:hAnsi="仿宋_GB2312;仿宋" w:eastAsia="仿宋_GB2312;仿宋" w:cs="仿宋_GB2312;仿宋"/>
          <w:color w:val="auto"/>
          <w:kern w:val="0"/>
          <w:sz w:val="24"/>
          <w:highlight w:val="none"/>
          <w:u w:val="single"/>
        </w:rPr>
        <w:t>（某分包供</w:t>
      </w:r>
      <w:r>
        <w:rPr>
          <w:rFonts w:ascii="仿宋_GB2312;仿宋" w:hAnsi="仿宋_GB2312;仿宋" w:eastAsia="仿宋_GB2312;仿宋" w:cs="仿宋_GB2312;仿宋"/>
          <w:color w:val="auto"/>
          <w:kern w:val="0"/>
          <w:sz w:val="24"/>
          <w:highlight w:val="none"/>
          <w:lang w:val="zh-CN"/>
        </w:rPr>
        <w:t>应商名称），具备承担XX工作内容相应资质条件且不得再次分包；</w:t>
      </w:r>
    </w:p>
    <w:p w14:paraId="48208F13">
      <w:pPr>
        <w:snapToGrid w:val="0"/>
        <w:spacing w:line="360" w:lineRule="auto"/>
        <w:ind w:firstLine="964"/>
        <w:jc w:val="left"/>
        <w:rPr>
          <w:rFonts w:ascii="仿宋_GB2312;仿宋" w:hAnsi="仿宋_GB2312;仿宋" w:eastAsia="仿宋_GB2312;仿宋" w:cs="仿宋_GB2312;仿宋"/>
          <w:b/>
          <w:color w:val="auto"/>
          <w:kern w:val="0"/>
          <w:sz w:val="24"/>
          <w:highlight w:val="none"/>
          <w:lang w:val="zh-CN"/>
        </w:rPr>
      </w:pPr>
      <w:r>
        <w:rPr>
          <w:rFonts w:ascii="仿宋_GB2312;仿宋" w:hAnsi="仿宋_GB2312;仿宋" w:eastAsia="仿宋_GB2312;仿宋" w:cs="仿宋_GB2312;仿宋"/>
          <w:b/>
          <w:color w:val="auto"/>
          <w:kern w:val="0"/>
          <w:sz w:val="24"/>
          <w:highlight w:val="none"/>
          <w:lang w:val="zh-CN"/>
        </w:rPr>
        <w:t>……</w:t>
      </w:r>
    </w:p>
    <w:p w14:paraId="47D8CA9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二、分包工作履行期限、地点、方式</w:t>
      </w:r>
    </w:p>
    <w:p w14:paraId="608248AC">
      <w:pPr>
        <w:snapToGrid w:val="0"/>
        <w:spacing w:line="360" w:lineRule="auto"/>
        <w:ind w:firstLine="576"/>
        <w:rPr>
          <w:rFonts w:ascii="仿宋_GB2312;仿宋" w:hAnsi="仿宋_GB2312;仿宋" w:eastAsia="仿宋_GB2312;仿宋" w:cs="仿宋"/>
          <w:color w:val="auto"/>
          <w:kern w:val="0"/>
          <w:sz w:val="24"/>
          <w:highlight w:val="none"/>
          <w:u w:val="single"/>
          <w:lang w:val="zh-CN"/>
        </w:rPr>
      </w:pPr>
    </w:p>
    <w:p w14:paraId="3BE6BBF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三、质量</w:t>
      </w:r>
    </w:p>
    <w:p w14:paraId="47C79733">
      <w:pPr>
        <w:snapToGrid w:val="0"/>
        <w:spacing w:line="360" w:lineRule="auto"/>
        <w:ind w:firstLine="576"/>
        <w:rPr>
          <w:rFonts w:ascii="仿宋_GB2312;仿宋" w:hAnsi="仿宋_GB2312;仿宋" w:eastAsia="仿宋_GB2312;仿宋" w:cs="仿宋_GB2312;仿宋"/>
          <w:color w:val="auto"/>
          <w:kern w:val="0"/>
          <w:sz w:val="24"/>
          <w:highlight w:val="none"/>
          <w:lang w:val="zh-CN"/>
        </w:rPr>
      </w:pPr>
    </w:p>
    <w:p w14:paraId="65A1841E">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四、价款或者报酬</w:t>
      </w:r>
    </w:p>
    <w:p w14:paraId="1D1B88CF">
      <w:pPr>
        <w:snapToGrid w:val="0"/>
        <w:spacing w:line="360" w:lineRule="auto"/>
        <w:ind w:left="573" w:firstLine="0"/>
        <w:rPr>
          <w:rFonts w:ascii="仿宋_GB2312;仿宋" w:hAnsi="仿宋_GB2312;仿宋" w:eastAsia="仿宋_GB2312;仿宋" w:cs="仿宋_GB2312;仿宋"/>
          <w:color w:val="auto"/>
          <w:kern w:val="0"/>
          <w:sz w:val="24"/>
          <w:highlight w:val="none"/>
          <w:lang w:val="zh-CN"/>
        </w:rPr>
      </w:pPr>
    </w:p>
    <w:p w14:paraId="0CD5DB97">
      <w:pPr>
        <w:snapToGrid w:val="0"/>
        <w:spacing w:line="360" w:lineRule="auto"/>
        <w:ind w:left="573" w:firstLine="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五、违约责任</w:t>
      </w:r>
    </w:p>
    <w:p w14:paraId="39186372">
      <w:pPr>
        <w:snapToGrid w:val="0"/>
        <w:spacing w:line="360" w:lineRule="auto"/>
        <w:ind w:firstLine="576"/>
        <w:rPr>
          <w:rFonts w:ascii="仿宋_GB2312;仿宋" w:hAnsi="仿宋_GB2312;仿宋" w:eastAsia="仿宋_GB2312;仿宋" w:cs="仿宋_GB2312;仿宋"/>
          <w:color w:val="auto"/>
          <w:kern w:val="0"/>
          <w:sz w:val="24"/>
          <w:highlight w:val="none"/>
          <w:lang w:val="zh-CN"/>
        </w:rPr>
      </w:pPr>
    </w:p>
    <w:p w14:paraId="18E00110">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六、争议解决的办法</w:t>
      </w:r>
    </w:p>
    <w:p w14:paraId="58DA9671">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七、其他</w:t>
      </w:r>
    </w:p>
    <w:p w14:paraId="1A5BA9EE">
      <w:pPr>
        <w:snapToGrid w:val="0"/>
        <w:spacing w:line="360" w:lineRule="auto"/>
        <w:ind w:left="5758" w:hanging="504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
          <w:color w:val="auto"/>
          <w:sz w:val="24"/>
          <w:highlight w:val="none"/>
        </w:rPr>
        <w:t>中小企业合同金额达到%，小微企业合同金额达到%</w:t>
      </w:r>
      <w:r>
        <w:rPr>
          <w:rFonts w:ascii="仿宋_GB2312;仿宋" w:hAnsi="仿宋_GB2312;仿宋" w:eastAsia="仿宋_GB2312;仿宋" w:cs="仿宋_GB2312;仿宋"/>
          <w:color w:val="auto"/>
          <w:kern w:val="0"/>
          <w:sz w:val="24"/>
          <w:highlight w:val="none"/>
          <w:lang w:val="zh-CN"/>
        </w:rPr>
        <w:t xml:space="preserve">  。                                         投标人名称(电子签名)：</w:t>
      </w:r>
    </w:p>
    <w:p w14:paraId="5252F99B">
      <w:pPr>
        <w:snapToGrid w:val="0"/>
        <w:spacing w:line="360" w:lineRule="auto"/>
        <w:ind w:firstLine="588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分包供应商名称：</w:t>
      </w:r>
    </w:p>
    <w:p w14:paraId="0B1420E9">
      <w:pPr>
        <w:snapToGrid w:val="0"/>
        <w:spacing w:line="360" w:lineRule="auto"/>
        <w:ind w:firstLine="6000"/>
        <w:rPr>
          <w:color w:val="auto"/>
          <w:highlight w:val="none"/>
        </w:rPr>
      </w:pPr>
      <w:r>
        <w:rPr>
          <w:rFonts w:ascii="仿宋_GB2312;仿宋" w:hAnsi="仿宋_GB2312;仿宋" w:eastAsia="仿宋_GB2312;仿宋" w:cs="仿宋_GB2312;仿宋"/>
          <w:color w:val="auto"/>
          <w:kern w:val="0"/>
          <w:sz w:val="24"/>
          <w:highlight w:val="none"/>
          <w:lang w:val="zh-CN"/>
        </w:rPr>
        <w:t>……</w:t>
      </w:r>
    </w:p>
    <w:p w14:paraId="230B830A">
      <w:pPr>
        <w:spacing w:line="360" w:lineRule="auto"/>
        <w:jc w:val="center"/>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 xml:space="preserve">                                        日期：  年  月   日</w:t>
      </w:r>
    </w:p>
    <w:p w14:paraId="59FEEAD5">
      <w:pPr>
        <w:jc w:val="center"/>
        <w:rPr>
          <w:rFonts w:ascii="仿宋" w:hAnsi="仿宋" w:eastAsia="仿宋" w:cs="仿宋"/>
          <w:b/>
          <w:bCs/>
          <w:color w:val="auto"/>
          <w:kern w:val="0"/>
          <w:sz w:val="44"/>
          <w:szCs w:val="44"/>
          <w:highlight w:val="none"/>
          <w:lang w:val="zh-CN"/>
        </w:rPr>
      </w:pPr>
      <w:r>
        <w:rPr>
          <w:color w:val="auto"/>
          <w:highlight w:val="none"/>
        </w:rPr>
        <w:br w:type="page"/>
      </w:r>
    </w:p>
    <w:p w14:paraId="49B31A36">
      <w:pPr>
        <w:jc w:val="center"/>
        <w:rPr>
          <w:rFonts w:ascii="仿宋_GB2312;仿宋" w:hAnsi="仿宋_GB2312;仿宋" w:eastAsia="仿宋_GB2312;仿宋"/>
          <w:b/>
          <w:color w:val="auto"/>
          <w:sz w:val="32"/>
          <w:szCs w:val="32"/>
          <w:highlight w:val="none"/>
        </w:rPr>
      </w:pPr>
      <w:r>
        <w:rPr>
          <w:rFonts w:ascii="仿宋_GB2312;仿宋" w:hAnsi="仿宋_GB2312;仿宋" w:eastAsia="仿宋_GB2312;仿宋"/>
          <w:b/>
          <w:color w:val="auto"/>
          <w:sz w:val="32"/>
          <w:szCs w:val="32"/>
          <w:highlight w:val="none"/>
        </w:rPr>
        <w:t>中小企业声明函</w:t>
      </w:r>
    </w:p>
    <w:p w14:paraId="58C88F24">
      <w:pPr>
        <w:rPr>
          <w:rFonts w:ascii="仿宋_GB2312;仿宋" w:hAnsi="仿宋_GB2312;仿宋" w:eastAsia="仿宋_GB2312;仿宋" w:cs="仿宋_GB2312;仿宋"/>
          <w:b/>
          <w:color w:val="auto"/>
          <w:sz w:val="32"/>
          <w:szCs w:val="32"/>
          <w:highlight w:val="none"/>
        </w:rPr>
      </w:pPr>
      <w:r>
        <w:rPr>
          <w:rFonts w:ascii="仿宋_GB2312;仿宋" w:hAnsi="仿宋_GB2312;仿宋" w:eastAsia="仿宋_GB2312;仿宋" w:cs="仿宋_GB2312;仿宋"/>
          <w:b/>
          <w:color w:val="auto"/>
          <w:sz w:val="24"/>
          <w:highlight w:val="none"/>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r>
        <w:rPr>
          <w:rFonts w:ascii="仿宋_GB2312;仿宋" w:hAnsi="仿宋_GB2312;仿宋" w:eastAsia="仿宋_GB2312;仿宋" w:cs="仿宋_GB2312;仿宋"/>
          <w:b/>
          <w:color w:val="auto"/>
          <w:sz w:val="24"/>
          <w:highlight w:val="none"/>
          <w:lang w:eastAsia="zh-CN"/>
        </w:rPr>
        <w:t>]</w:t>
      </w:r>
    </w:p>
    <w:p w14:paraId="0EAAE175">
      <w:pPr>
        <w:jc w:val="center"/>
        <w:rPr>
          <w:rFonts w:ascii="仿宋_GB2312;仿宋" w:hAnsi="仿宋_GB2312;仿宋" w:eastAsia="仿宋_GB2312;仿宋" w:cs="仿宋_GB2312;仿宋"/>
          <w:b/>
          <w:color w:val="auto"/>
          <w:sz w:val="32"/>
          <w:highlight w:val="none"/>
        </w:rPr>
      </w:pPr>
      <w:r>
        <w:rPr>
          <w:rFonts w:ascii="仿宋_GB2312;仿宋" w:hAnsi="仿宋_GB2312;仿宋" w:eastAsia="仿宋_GB2312;仿宋" w:cs="仿宋_GB2312;仿宋"/>
          <w:b/>
          <w:color w:val="auto"/>
          <w:sz w:val="32"/>
          <w:highlight w:val="none"/>
        </w:rPr>
        <w:t>中小企业声明函（货物）</w:t>
      </w:r>
    </w:p>
    <w:p w14:paraId="7F498A0C">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本公司（联合体）郑重声明，根据《政府采购促进中小企业发展管理办法》 （财库</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2020</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46 号）的规定，本公司（联合体）参加</w:t>
      </w:r>
      <w:r>
        <w:rPr>
          <w:rFonts w:ascii="仿宋_GB2312;仿宋" w:hAnsi="仿宋_GB2312;仿宋" w:eastAsia="仿宋_GB2312;仿宋" w:cs="仿宋_GB2312;仿宋"/>
          <w:color w:val="auto"/>
          <w:sz w:val="24"/>
          <w:highlight w:val="none"/>
          <w:u w:val="single"/>
        </w:rPr>
        <w:t xml:space="preserve"> xxx </w:t>
      </w:r>
      <w:r>
        <w:rPr>
          <w:rFonts w:ascii="仿宋_GB2312;仿宋" w:hAnsi="仿宋_GB2312;仿宋" w:eastAsia="仿宋_GB2312;仿宋" w:cs="仿宋_GB2312;仿宋"/>
          <w:color w:val="auto"/>
          <w:sz w:val="24"/>
          <w:highlight w:val="none"/>
        </w:rPr>
        <w:t>的</w:t>
      </w:r>
      <w:r>
        <w:rPr>
          <w:rFonts w:ascii="仿宋_GB2312;仿宋" w:hAnsi="仿宋_GB2312;仿宋" w:eastAsia="仿宋_GB2312;仿宋" w:cs="仿宋_GB2312;仿宋"/>
          <w:color w:val="auto"/>
          <w:sz w:val="24"/>
          <w:highlight w:val="none"/>
          <w:u w:val="single"/>
        </w:rPr>
        <w:t>xxx项目</w:t>
      </w:r>
      <w:r>
        <w:rPr>
          <w:rFonts w:ascii="仿宋_GB2312;仿宋" w:hAnsi="仿宋_GB2312;仿宋" w:eastAsia="仿宋_GB2312;仿宋" w:cs="仿宋_GB2312;仿宋"/>
          <w:color w:val="auto"/>
          <w:sz w:val="24"/>
          <w:highlight w:val="none"/>
        </w:rPr>
        <w:t>采购活动，提供的货物全部由符合政策要求的中小企业制造。相关企业（含联合体中的中小企业、签订分包意向协议的中小企业）的具体情况如下：</w:t>
      </w:r>
    </w:p>
    <w:p w14:paraId="2BB67FC6">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1.</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w:t>
      </w:r>
      <w:r>
        <w:rPr>
          <w:rFonts w:ascii="仿宋_GB2312;仿宋" w:hAnsi="仿宋_GB2312;仿宋" w:eastAsia="仿宋_GB2312;仿宋" w:cs="仿宋_GB2312;仿宋"/>
          <w:color w:val="auto"/>
          <w:sz w:val="24"/>
          <w:highlight w:val="none"/>
        </w:rPr>
        <w:t>行业 ；制造商为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5E160518">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2.</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w:t>
      </w:r>
      <w:r>
        <w:rPr>
          <w:rFonts w:ascii="仿宋_GB2312;仿宋" w:hAnsi="仿宋_GB2312;仿宋" w:eastAsia="仿宋_GB2312;仿宋" w:cs="仿宋_GB2312;仿宋"/>
          <w:color w:val="auto"/>
          <w:sz w:val="24"/>
          <w:highlight w:val="none"/>
        </w:rPr>
        <w:t>行业 ；制造商为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2B35A119">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w:t>
      </w:r>
    </w:p>
    <w:p w14:paraId="3E6A89B4">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以上企业，不属于大企业的分支机构，不存在控股股东为大企业的情形，也不存在与大企业的负责人为同一人的情形。</w:t>
      </w:r>
    </w:p>
    <w:p w14:paraId="456BF684">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本企业对上述声明内容的真实性负责。如有虚假，将依法承担相应责任。</w:t>
      </w:r>
    </w:p>
    <w:p w14:paraId="443CB207">
      <w:pPr>
        <w:ind w:right="420" w:firstLine="5880"/>
        <w:jc w:val="left"/>
        <w:rPr>
          <w:rFonts w:ascii="仿宋_GB2312;仿宋" w:hAnsi="仿宋_GB2312;仿宋" w:eastAsia="仿宋_GB2312;仿宋" w:cs="仿宋_GB2312;仿宋"/>
          <w:color w:val="auto"/>
          <w:sz w:val="24"/>
          <w:highlight w:val="none"/>
        </w:rPr>
      </w:pPr>
    </w:p>
    <w:p w14:paraId="727393C4">
      <w:pPr>
        <w:ind w:right="420" w:firstLine="58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 xml:space="preserve">企业名称（盖章）： </w:t>
      </w:r>
    </w:p>
    <w:p w14:paraId="4537B777">
      <w:pPr>
        <w:ind w:right="420" w:firstLine="5520"/>
        <w:rPr>
          <w:rFonts w:ascii="仿宋_GB2312;仿宋" w:hAnsi="仿宋_GB2312;仿宋" w:eastAsia="仿宋_GB2312;仿宋"/>
          <w:color w:val="auto"/>
          <w:highlight w:val="none"/>
        </w:rPr>
      </w:pPr>
      <w:r>
        <w:rPr>
          <w:rFonts w:ascii="仿宋_GB2312;仿宋" w:hAnsi="仿宋_GB2312;仿宋" w:eastAsia="仿宋_GB2312;仿宋" w:cs="仿宋_GB2312;仿宋"/>
          <w:color w:val="auto"/>
          <w:sz w:val="24"/>
          <w:highlight w:val="none"/>
        </w:rPr>
        <w:t xml:space="preserve">日期：   年   月 </w:t>
      </w:r>
      <w:r>
        <w:rPr>
          <w:rFonts w:ascii="仿宋_GB2312;仿宋" w:hAnsi="仿宋_GB2312;仿宋" w:eastAsia="仿宋_GB2312;仿宋"/>
          <w:color w:val="auto"/>
          <w:highlight w:val="none"/>
        </w:rPr>
        <w:t xml:space="preserve">  日</w:t>
      </w:r>
    </w:p>
    <w:p w14:paraId="36C8F036">
      <w:pPr>
        <w:jc w:val="center"/>
        <w:rPr>
          <w:rFonts w:ascii="仿宋_GB2312;仿宋" w:hAnsi="仿宋_GB2312;仿宋" w:eastAsia="仿宋_GB2312;仿宋" w:cs="仿宋_GB2312;仿宋"/>
          <w:b/>
          <w:color w:val="auto"/>
          <w:sz w:val="18"/>
          <w:highlight w:val="none"/>
        </w:rPr>
      </w:pPr>
    </w:p>
    <w:p w14:paraId="4DC7D3A9">
      <w:pPr>
        <w:rPr>
          <w:rFonts w:ascii="仿宋_GB2312;仿宋" w:hAnsi="仿宋_GB2312;仿宋" w:eastAsia="仿宋_GB2312;仿宋" w:cs="仿宋_GB2312;仿宋"/>
          <w:b/>
          <w:color w:val="auto"/>
          <w:sz w:val="24"/>
          <w:highlight w:val="none"/>
        </w:rPr>
      </w:pPr>
      <w:r>
        <w:rPr>
          <w:rFonts w:ascii="仿宋_GB2312;仿宋" w:hAnsi="仿宋_GB2312;仿宋" w:eastAsia="仿宋_GB2312;仿宋" w:cs="仿宋_GB2312;仿宋"/>
          <w:b/>
          <w:color w:val="auto"/>
          <w:sz w:val="24"/>
          <w:highlight w:val="none"/>
        </w:rPr>
        <w:t>注：</w:t>
      </w:r>
    </w:p>
    <w:p w14:paraId="378A3032">
      <w:pPr>
        <w:rPr>
          <w:rFonts w:ascii="仿宋" w:hAnsi="仿宋" w:eastAsia="仿宋" w:cs="仿宋"/>
          <w:b/>
          <w:color w:val="auto"/>
          <w:sz w:val="24"/>
          <w:highlight w:val="none"/>
        </w:rPr>
      </w:pPr>
      <w:r>
        <w:rPr>
          <w:rFonts w:ascii="仿宋" w:hAnsi="仿宋" w:eastAsia="仿宋" w:cs="仿宋"/>
          <w:b/>
          <w:color w:val="auto"/>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ascii="仿宋_GB2312;仿宋" w:hAnsi="仿宋_GB2312;仿宋" w:eastAsia="仿宋_GB2312;仿宋" w:cs="仿宋_GB2312;仿宋"/>
          <w:color w:val="auto"/>
          <w:sz w:val="24"/>
          <w:highlight w:val="none"/>
        </w:rPr>
        <w:t>如国家颁布新的企业划型标准，则按最新标准执行。</w:t>
      </w:r>
      <w:r>
        <w:rPr>
          <w:rFonts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156696AE">
      <w:pPr>
        <w:rPr>
          <w:rFonts w:ascii="仿宋_GB2312;仿宋" w:hAnsi="仿宋_GB2312;仿宋" w:eastAsia="仿宋_GB2312;仿宋" w:cs="仿宋_GB2312;仿宋"/>
          <w:color w:val="auto"/>
          <w:sz w:val="24"/>
          <w:highlight w:val="none"/>
        </w:rPr>
      </w:pPr>
      <w:r>
        <w:rPr>
          <w:rFonts w:ascii="仿宋" w:hAnsi="仿宋" w:eastAsia="仿宋" w:cs="仿宋"/>
          <w:color w:val="auto"/>
          <w:sz w:val="24"/>
          <w:highlight w:val="none"/>
        </w:rPr>
        <w:t>2.根据《政府采购促进中小企业发展管理办法》的通知（财库〔2020〕46号）规定，</w:t>
      </w:r>
      <w:r>
        <w:rPr>
          <w:rFonts w:ascii="仿宋_GB2312;仿宋" w:hAnsi="仿宋_GB2312;仿宋" w:eastAsia="仿宋_GB2312;仿宋" w:cs="仿宋_GB2312;仿宋"/>
          <w:color w:val="auto"/>
          <w:sz w:val="24"/>
          <w:highlight w:val="none"/>
        </w:rPr>
        <w:t>中标、成交供应商享受中小企业扶持政策的，采购代理机构将随中标、成交结果公开中标、成交供应商的《中小企业声明函》。</w:t>
      </w:r>
      <w:r>
        <w:rPr>
          <w:color w:val="auto"/>
          <w:highlight w:val="none"/>
        </w:rPr>
        <w:br w:type="page"/>
      </w:r>
    </w:p>
    <w:p w14:paraId="78778836">
      <w:pPr>
        <w:jc w:val="center"/>
        <w:rPr>
          <w:rFonts w:ascii="仿宋_GB2312;仿宋" w:hAnsi="仿宋_GB2312;仿宋" w:eastAsia="仿宋_GB2312;仿宋" w:cs="仿宋_GB2312;仿宋"/>
          <w:b/>
          <w:color w:val="auto"/>
          <w:sz w:val="32"/>
          <w:highlight w:val="none"/>
        </w:rPr>
      </w:pPr>
      <w:r>
        <w:rPr>
          <w:rFonts w:ascii="仿宋_GB2312;仿宋" w:hAnsi="仿宋_GB2312;仿宋" w:eastAsia="仿宋_GB2312;仿宋" w:cs="仿宋_GB2312;仿宋"/>
          <w:b/>
          <w:color w:val="auto"/>
          <w:sz w:val="32"/>
          <w:highlight w:val="none"/>
        </w:rPr>
        <w:t>中小企业声明函（工程、服务）</w:t>
      </w:r>
    </w:p>
    <w:p w14:paraId="77956286">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本公司（联合体）郑重声明，根据《政府采购促进中小企业发展管理办法》 （财库</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2020</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46 号）的规定，本公司（联合体）参加</w:t>
      </w:r>
      <w:r>
        <w:rPr>
          <w:rFonts w:ascii="仿宋_GB2312;仿宋" w:hAnsi="仿宋_GB2312;仿宋" w:eastAsia="仿宋_GB2312;仿宋" w:cs="仿宋_GB2312;仿宋"/>
          <w:color w:val="auto"/>
          <w:sz w:val="24"/>
          <w:highlight w:val="none"/>
          <w:u w:val="single"/>
        </w:rPr>
        <w:t xml:space="preserve"> xxx </w:t>
      </w:r>
      <w:r>
        <w:rPr>
          <w:rFonts w:ascii="仿宋_GB2312;仿宋" w:hAnsi="仿宋_GB2312;仿宋" w:eastAsia="仿宋_GB2312;仿宋" w:cs="仿宋_GB2312;仿宋"/>
          <w:color w:val="auto"/>
          <w:sz w:val="24"/>
          <w:highlight w:val="none"/>
        </w:rPr>
        <w:t>的</w:t>
      </w:r>
      <w:r>
        <w:rPr>
          <w:rFonts w:ascii="仿宋_GB2312;仿宋" w:hAnsi="仿宋_GB2312;仿宋" w:eastAsia="仿宋_GB2312;仿宋" w:cs="仿宋_GB2312;仿宋"/>
          <w:color w:val="auto"/>
          <w:sz w:val="24"/>
          <w:highlight w:val="none"/>
          <w:u w:val="single"/>
        </w:rPr>
        <w:t>xxx项目</w:t>
      </w:r>
      <w:r>
        <w:rPr>
          <w:rFonts w:ascii="仿宋_GB2312;仿宋" w:hAnsi="仿宋_GB2312;仿宋" w:eastAsia="仿宋_GB2312;仿宋" w:cs="仿宋_GB2312;仿宋"/>
          <w:color w:val="auto"/>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0E20E864">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1.</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（采购文件中明确的所属行业）行业</w:t>
      </w:r>
      <w:r>
        <w:rPr>
          <w:rFonts w:ascii="仿宋_GB2312;仿宋" w:hAnsi="仿宋_GB2312;仿宋" w:eastAsia="仿宋_GB2312;仿宋" w:cs="仿宋_GB2312;仿宋"/>
          <w:color w:val="auto"/>
          <w:sz w:val="24"/>
          <w:highlight w:val="none"/>
        </w:rPr>
        <w:t>；承建（承接）企业为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4C93A3B2">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2.</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（采购文件中明确的所属行业）行业</w:t>
      </w:r>
      <w:r>
        <w:rPr>
          <w:rFonts w:ascii="仿宋_GB2312;仿宋" w:hAnsi="仿宋_GB2312;仿宋" w:eastAsia="仿宋_GB2312;仿宋" w:cs="仿宋_GB2312;仿宋"/>
          <w:color w:val="auto"/>
          <w:sz w:val="24"/>
          <w:highlight w:val="none"/>
        </w:rPr>
        <w:t>；承建（承接）企业为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 ，属于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07118DC3">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w:t>
      </w:r>
    </w:p>
    <w:p w14:paraId="2D8656CF">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以上企业，不属于大企业的分支机构，不存在控股股东为大企业的情形，也不存在与大企业的负责人为同一人的情形。</w:t>
      </w:r>
    </w:p>
    <w:p w14:paraId="04DBA2C9">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本企业对上述声明内容的真实性负责。如有虚假，将依法承担相应责任。</w:t>
      </w:r>
    </w:p>
    <w:p w14:paraId="7E6BB229">
      <w:pPr>
        <w:ind w:right="420" w:firstLine="5880"/>
        <w:jc w:val="left"/>
        <w:rPr>
          <w:rFonts w:ascii="仿宋_GB2312;仿宋" w:hAnsi="仿宋_GB2312;仿宋" w:eastAsia="仿宋_GB2312;仿宋" w:cs="仿宋_GB2312;仿宋"/>
          <w:color w:val="auto"/>
          <w:sz w:val="24"/>
          <w:highlight w:val="none"/>
        </w:rPr>
      </w:pPr>
    </w:p>
    <w:p w14:paraId="057D0658">
      <w:pPr>
        <w:ind w:right="420" w:firstLine="58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 xml:space="preserve">企业名称（盖章）： </w:t>
      </w:r>
    </w:p>
    <w:p w14:paraId="14EB8953">
      <w:pPr>
        <w:ind w:right="420" w:firstLine="5520"/>
        <w:rPr>
          <w:rFonts w:ascii="仿宋_GB2312;仿宋" w:hAnsi="仿宋_GB2312;仿宋" w:eastAsia="仿宋_GB2312;仿宋"/>
          <w:color w:val="auto"/>
          <w:highlight w:val="none"/>
        </w:rPr>
      </w:pPr>
      <w:r>
        <w:rPr>
          <w:rFonts w:ascii="仿宋_GB2312;仿宋" w:hAnsi="仿宋_GB2312;仿宋" w:eastAsia="仿宋_GB2312;仿宋" w:cs="仿宋_GB2312;仿宋"/>
          <w:color w:val="auto"/>
          <w:sz w:val="24"/>
          <w:highlight w:val="none"/>
        </w:rPr>
        <w:t xml:space="preserve">日期：   年   月 </w:t>
      </w:r>
      <w:r>
        <w:rPr>
          <w:rFonts w:ascii="仿宋_GB2312;仿宋" w:hAnsi="仿宋_GB2312;仿宋" w:eastAsia="仿宋_GB2312;仿宋"/>
          <w:color w:val="auto"/>
          <w:highlight w:val="none"/>
        </w:rPr>
        <w:t xml:space="preserve">  日</w:t>
      </w:r>
    </w:p>
    <w:p w14:paraId="5C171A41">
      <w:pPr>
        <w:rPr>
          <w:rFonts w:ascii="仿宋_GB2312;仿宋" w:hAnsi="仿宋_GB2312;仿宋" w:eastAsia="仿宋_GB2312;仿宋" w:cs="仿宋_GB2312;仿宋"/>
          <w:color w:val="auto"/>
          <w:sz w:val="24"/>
          <w:highlight w:val="none"/>
        </w:rPr>
      </w:pPr>
    </w:p>
    <w:p w14:paraId="4F06EAE0">
      <w:pPr>
        <w:rPr>
          <w:rFonts w:ascii="仿宋_GB2312;仿宋" w:hAnsi="仿宋_GB2312;仿宋" w:eastAsia="仿宋_GB2312;仿宋" w:cs="仿宋_GB2312;仿宋"/>
          <w:color w:val="auto"/>
          <w:sz w:val="24"/>
          <w:highlight w:val="none"/>
        </w:rPr>
      </w:pPr>
    </w:p>
    <w:p w14:paraId="2611C93B">
      <w:pPr>
        <w:rPr>
          <w:rFonts w:ascii="仿宋_GB2312;仿宋" w:hAnsi="仿宋_GB2312;仿宋" w:eastAsia="仿宋_GB2312;仿宋" w:cs="仿宋_GB2312;仿宋"/>
          <w:color w:val="auto"/>
          <w:sz w:val="24"/>
          <w:highlight w:val="none"/>
        </w:rPr>
      </w:pPr>
    </w:p>
    <w:p w14:paraId="0E5C5F45">
      <w:pPr>
        <w:rPr>
          <w:rFonts w:ascii="仿宋_GB2312;仿宋" w:hAnsi="仿宋_GB2312;仿宋" w:eastAsia="仿宋_GB2312;仿宋" w:cs="仿宋_GB2312;仿宋"/>
          <w:color w:val="auto"/>
          <w:sz w:val="24"/>
          <w:highlight w:val="none"/>
        </w:rPr>
      </w:pPr>
    </w:p>
    <w:p w14:paraId="62BB899C">
      <w:pPr>
        <w:rPr>
          <w:rFonts w:ascii="仿宋_GB2312;仿宋" w:hAnsi="仿宋_GB2312;仿宋" w:eastAsia="仿宋_GB2312;仿宋" w:cs="仿宋_GB2312;仿宋"/>
          <w:color w:val="auto"/>
          <w:sz w:val="24"/>
          <w:highlight w:val="none"/>
        </w:rPr>
      </w:pPr>
    </w:p>
    <w:p w14:paraId="35CCCFA3">
      <w:pPr>
        <w:rPr>
          <w:rFonts w:ascii="仿宋_GB2312;仿宋" w:hAnsi="仿宋_GB2312;仿宋" w:eastAsia="仿宋_GB2312;仿宋" w:cs="仿宋_GB2312;仿宋"/>
          <w:color w:val="auto"/>
          <w:sz w:val="24"/>
          <w:highlight w:val="none"/>
        </w:rPr>
      </w:pPr>
    </w:p>
    <w:p w14:paraId="03F5C18A">
      <w:pPr>
        <w:rPr>
          <w:rFonts w:ascii="仿宋_GB2312;仿宋" w:hAnsi="仿宋_GB2312;仿宋" w:eastAsia="仿宋_GB2312;仿宋" w:cs="仿宋_GB2312;仿宋"/>
          <w:b/>
          <w:color w:val="auto"/>
          <w:sz w:val="24"/>
          <w:highlight w:val="none"/>
        </w:rPr>
      </w:pPr>
      <w:r>
        <w:rPr>
          <w:rFonts w:ascii="仿宋_GB2312;仿宋" w:hAnsi="仿宋_GB2312;仿宋" w:eastAsia="仿宋_GB2312;仿宋" w:cs="仿宋_GB2312;仿宋"/>
          <w:b/>
          <w:color w:val="auto"/>
          <w:sz w:val="24"/>
          <w:highlight w:val="none"/>
        </w:rPr>
        <w:t>注：</w:t>
      </w:r>
    </w:p>
    <w:p w14:paraId="7B6D3460">
      <w:pPr>
        <w:rPr>
          <w:rFonts w:ascii="仿宋" w:hAnsi="仿宋" w:eastAsia="仿宋" w:cs="仿宋"/>
          <w:b/>
          <w:color w:val="auto"/>
          <w:sz w:val="24"/>
          <w:highlight w:val="none"/>
        </w:rPr>
      </w:pPr>
      <w:r>
        <w:rPr>
          <w:rFonts w:ascii="仿宋" w:hAnsi="仿宋" w:eastAsia="仿宋" w:cs="仿宋"/>
          <w:b/>
          <w:color w:val="auto"/>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ascii="仿宋_GB2312;仿宋" w:hAnsi="仿宋_GB2312;仿宋" w:eastAsia="仿宋_GB2312;仿宋" w:cs="仿宋_GB2312;仿宋"/>
          <w:color w:val="auto"/>
          <w:sz w:val="24"/>
          <w:highlight w:val="none"/>
        </w:rPr>
        <w:t>如国家颁布新的企业划型标准，则按最新标准执行。</w:t>
      </w:r>
      <w:r>
        <w:rPr>
          <w:rFonts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46505331">
      <w:pPr>
        <w:rPr>
          <w:rFonts w:ascii="仿宋_GB2312;仿宋" w:hAnsi="仿宋_GB2312;仿宋" w:eastAsia="仿宋_GB2312;仿宋" w:cs="仿宋_GB2312;仿宋"/>
          <w:color w:val="auto"/>
          <w:sz w:val="24"/>
          <w:highlight w:val="none"/>
        </w:rPr>
      </w:pPr>
      <w:r>
        <w:rPr>
          <w:rFonts w:ascii="仿宋" w:hAnsi="仿宋" w:eastAsia="仿宋" w:cs="仿宋"/>
          <w:color w:val="auto"/>
          <w:sz w:val="24"/>
          <w:highlight w:val="none"/>
        </w:rPr>
        <w:t>2.根据《政府采购促进中小企业发展管理办法》的通知（财库〔2020〕46号）规定，</w:t>
      </w:r>
      <w:r>
        <w:rPr>
          <w:rFonts w:ascii="仿宋_GB2312;仿宋" w:hAnsi="仿宋_GB2312;仿宋" w:eastAsia="仿宋_GB2312;仿宋" w:cs="仿宋_GB2312;仿宋"/>
          <w:color w:val="auto"/>
          <w:sz w:val="24"/>
          <w:highlight w:val="none"/>
        </w:rPr>
        <w:t>中标、成交供应商享受中小企业扶持政策的，采购代理机构将随中标、成交结果公开中标、成交供应商的《中小企业声明函》。</w:t>
      </w:r>
      <w:r>
        <w:rPr>
          <w:color w:val="auto"/>
          <w:highlight w:val="none"/>
        </w:rPr>
        <w:br w:type="page"/>
      </w:r>
    </w:p>
    <w:p w14:paraId="18FB9077">
      <w:pPr>
        <w:spacing w:line="588" w:lineRule="exact"/>
        <w:jc w:val="center"/>
        <w:rPr>
          <w:rFonts w:ascii="仿宋_GB2312;仿宋" w:hAnsi="仿宋_GB2312;仿宋" w:eastAsia="仿宋_GB2312;仿宋"/>
          <w:b/>
          <w:color w:val="auto"/>
          <w:spacing w:val="6"/>
          <w:sz w:val="32"/>
          <w:szCs w:val="32"/>
          <w:highlight w:val="none"/>
        </w:rPr>
      </w:pPr>
      <w:r>
        <w:rPr>
          <w:rFonts w:ascii="仿宋_GB2312;仿宋" w:hAnsi="仿宋_GB2312;仿宋" w:eastAsia="仿宋_GB2312;仿宋"/>
          <w:b/>
          <w:color w:val="auto"/>
          <w:spacing w:val="6"/>
          <w:sz w:val="32"/>
          <w:szCs w:val="32"/>
          <w:highlight w:val="none"/>
        </w:rPr>
        <w:t>残疾人福利性单位声明函</w:t>
      </w:r>
    </w:p>
    <w:p w14:paraId="7867E780">
      <w:pPr>
        <w:spacing w:line="588" w:lineRule="exact"/>
        <w:rPr>
          <w:rFonts w:ascii="仿宋_GB2312;仿宋" w:hAnsi="仿宋_GB2312;仿宋" w:eastAsia="仿宋_GB2312;仿宋"/>
          <w:b/>
          <w:color w:val="auto"/>
          <w:spacing w:val="6"/>
          <w:sz w:val="30"/>
          <w:szCs w:val="30"/>
          <w:highlight w:val="none"/>
        </w:rPr>
      </w:pPr>
    </w:p>
    <w:p w14:paraId="0B1AAF7A">
      <w:pPr>
        <w:spacing w:line="588"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141号）的规定，本单位为符合条件的残疾人福利性单位，且本单位参加的</w:t>
      </w:r>
      <w:r>
        <w:rPr>
          <w:rFonts w:ascii="仿宋_GB2312;仿宋" w:hAnsi="仿宋_GB2312;仿宋" w:eastAsia="仿宋_GB2312;仿宋" w:cs="仿宋_GB2312;仿宋"/>
          <w:color w:val="auto"/>
          <w:sz w:val="24"/>
          <w:highlight w:val="none"/>
          <w:u w:val="single"/>
        </w:rPr>
        <w:t xml:space="preserve">                 项目</w:t>
      </w:r>
      <w:r>
        <w:rPr>
          <w:rFonts w:ascii="仿宋_GB2312;仿宋" w:hAnsi="仿宋_GB2312;仿宋" w:eastAsia="仿宋_GB2312;仿宋" w:cs="仿宋_GB2312;仿宋"/>
          <w:color w:val="auto"/>
          <w:sz w:val="24"/>
          <w:highlight w:val="none"/>
        </w:rPr>
        <w:t>采购活动提供本单位制造的货物（由本单位承担工程/提供服务），或者提供其他残疾人福利性单位制造的货物（不包括使用非残疾人福利性单位注册商标的货物）。</w:t>
      </w:r>
    </w:p>
    <w:p w14:paraId="7FE23224">
      <w:pPr>
        <w:spacing w:line="588"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本单位对上述声明的真实性负责。如有虚假，将依法承担相应责任。</w:t>
      </w:r>
    </w:p>
    <w:p w14:paraId="718B2E2D">
      <w:pPr>
        <w:spacing w:line="588" w:lineRule="exact"/>
        <w:ind w:firstLine="480"/>
        <w:rPr>
          <w:rFonts w:ascii="仿宋_GB2312;仿宋" w:hAnsi="仿宋_GB2312;仿宋" w:eastAsia="仿宋_GB2312;仿宋" w:cs="仿宋_GB2312;仿宋"/>
          <w:color w:val="auto"/>
          <w:sz w:val="24"/>
          <w:highlight w:val="none"/>
        </w:rPr>
      </w:pPr>
    </w:p>
    <w:p w14:paraId="483BD63F">
      <w:pPr>
        <w:spacing w:line="588" w:lineRule="exact"/>
        <w:ind w:firstLine="480"/>
        <w:rPr>
          <w:rFonts w:ascii="仿宋_GB2312;仿宋" w:hAnsi="仿宋_GB2312;仿宋" w:eastAsia="仿宋_GB2312;仿宋" w:cs="仿宋_GB2312;仿宋"/>
          <w:color w:val="auto"/>
          <w:sz w:val="24"/>
          <w:highlight w:val="none"/>
        </w:rPr>
      </w:pPr>
    </w:p>
    <w:p w14:paraId="6B8151C9">
      <w:pPr>
        <w:ind w:right="420" w:firstLine="58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 xml:space="preserve">声明单位（盖章）： </w:t>
      </w:r>
    </w:p>
    <w:p w14:paraId="1A785DDE">
      <w:pPr>
        <w:ind w:right="420" w:firstLine="0"/>
        <w:jc w:val="right"/>
        <w:rPr>
          <w:rFonts w:ascii="仿宋_GB2312;仿宋" w:hAnsi="仿宋_GB2312;仿宋" w:eastAsia="仿宋_GB2312;仿宋"/>
          <w:color w:val="auto"/>
          <w:highlight w:val="none"/>
        </w:rPr>
      </w:pPr>
      <w:r>
        <w:rPr>
          <w:rFonts w:ascii="仿宋_GB2312;仿宋" w:hAnsi="仿宋_GB2312;仿宋" w:eastAsia="仿宋_GB2312;仿宋" w:cs="仿宋_GB2312;仿宋"/>
          <w:color w:val="auto"/>
          <w:sz w:val="24"/>
          <w:highlight w:val="none"/>
        </w:rPr>
        <w:t xml:space="preserve">日期：   年     月 </w:t>
      </w:r>
      <w:r>
        <w:rPr>
          <w:rFonts w:ascii="仿宋_GB2312;仿宋" w:hAnsi="仿宋_GB2312;仿宋" w:eastAsia="仿宋_GB2312;仿宋"/>
          <w:color w:val="auto"/>
          <w:highlight w:val="none"/>
        </w:rPr>
        <w:t xml:space="preserve">    日</w:t>
      </w:r>
    </w:p>
    <w:p w14:paraId="3AD09BA8">
      <w:pPr>
        <w:rPr>
          <w:rFonts w:ascii="仿宋_GB2312;仿宋" w:hAnsi="仿宋_GB2312;仿宋" w:eastAsia="仿宋_GB2312;仿宋" w:cs="仿宋_GB2312;仿宋"/>
          <w:color w:val="auto"/>
          <w:sz w:val="24"/>
          <w:highlight w:val="none"/>
        </w:rPr>
      </w:pPr>
    </w:p>
    <w:p w14:paraId="3AF31A2C">
      <w:pPr>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注：</w:t>
      </w:r>
      <w:r>
        <w:rPr>
          <w:rFonts w:ascii="仿宋_GB2312;仿宋" w:hAnsi="仿宋_GB2312;仿宋" w:eastAsia="仿宋_GB2312;仿宋" w:cs="仿宋"/>
          <w:color w:val="auto"/>
          <w:sz w:val="24"/>
          <w:highlight w:val="none"/>
        </w:rPr>
        <w:t>根据《财政部 民政部 中国残疾人联合会关于促进残疾人就业政府采购政策的通知》（财库〔2017〕141号）规定填报。</w:t>
      </w:r>
    </w:p>
    <w:p w14:paraId="27AB2FE6">
      <w:pPr>
        <w:rPr>
          <w:rFonts w:ascii="仿宋_GB2312;仿宋" w:hAnsi="仿宋_GB2312;仿宋" w:eastAsia="仿宋_GB2312;仿宋" w:cs="仿宋_GB2312;仿宋"/>
          <w:color w:val="auto"/>
          <w:sz w:val="24"/>
          <w:highlight w:val="none"/>
        </w:rPr>
      </w:pPr>
    </w:p>
    <w:p w14:paraId="30A0F0CB">
      <w:pPr>
        <w:tabs>
          <w:tab w:val="left" w:pos="4860"/>
        </w:tabs>
        <w:ind w:right="1559"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object>
          <v:shape id="_x0000_i1025" o:spt="75" type="#_x0000_t75" style="height:42pt;width:390pt;" o:ole="t" filled="f" coordsize="21600,21600">
            <v:path/>
            <v:fill on="f" focussize="0,0"/>
            <v:stroke/>
            <v:imagedata r:id="rId8" o:title=""/>
            <o:lock v:ext="edit" aspectratio="t"/>
            <w10:wrap type="none"/>
            <w10:anchorlock/>
          </v:shape>
          <o:OLEObject Type="Embed" ProgID="" ShapeID="_x0000_i1025" DrawAspect="Content" ObjectID="_1468075725" r:id="rId7">
            <o:LockedField>false</o:LockedField>
          </o:OLEObject>
        </w:object>
      </w:r>
    </w:p>
    <w:p w14:paraId="1E936118">
      <w:pPr>
        <w:ind w:firstLine="420"/>
        <w:rPr>
          <w:rFonts w:ascii="仿宋_GB2312;仿宋" w:hAnsi="仿宋_GB2312;仿宋" w:eastAsia="仿宋_GB2312;仿宋" w:cs="仿宋_GB2312;仿宋"/>
          <w:color w:val="auto"/>
          <w:sz w:val="24"/>
          <w:highlight w:val="none"/>
        </w:rPr>
      </w:pPr>
    </w:p>
    <w:p w14:paraId="1A8903D7">
      <w:pPr>
        <w:ind w:firstLine="420"/>
        <w:rPr>
          <w:rFonts w:ascii="仿宋_GB2312;仿宋" w:hAnsi="仿宋_GB2312;仿宋" w:eastAsia="仿宋_GB2312;仿宋"/>
          <w:color w:val="auto"/>
          <w:highlight w:val="none"/>
        </w:rPr>
      </w:pPr>
    </w:p>
    <w:p w14:paraId="1954AA16">
      <w:pPr>
        <w:ind w:firstLine="420"/>
        <w:rPr>
          <w:rFonts w:ascii="仿宋_GB2312;仿宋" w:hAnsi="仿宋_GB2312;仿宋" w:eastAsia="仿宋_GB2312;仿宋"/>
          <w:color w:val="auto"/>
          <w:highlight w:val="none"/>
        </w:rPr>
      </w:pPr>
    </w:p>
    <w:p w14:paraId="0EC9802B">
      <w:pPr>
        <w:ind w:firstLine="420"/>
        <w:rPr>
          <w:rFonts w:ascii="仿宋_GB2312;仿宋" w:hAnsi="仿宋_GB2312;仿宋" w:eastAsia="仿宋_GB2312;仿宋"/>
          <w:color w:val="auto"/>
          <w:highlight w:val="none"/>
        </w:rPr>
      </w:pPr>
    </w:p>
    <w:p w14:paraId="6ECC3C95">
      <w:pPr>
        <w:rPr>
          <w:rFonts w:ascii="仿宋_GB2312;仿宋" w:hAnsi="仿宋_GB2312;仿宋" w:eastAsia="仿宋_GB2312;仿宋" w:cs="仿宋_GB2312;仿宋"/>
          <w:b/>
          <w:color w:val="auto"/>
          <w:sz w:val="24"/>
          <w:highlight w:val="none"/>
        </w:rPr>
      </w:pPr>
    </w:p>
    <w:p w14:paraId="6DCC24A2">
      <w:pPr>
        <w:spacing w:line="400" w:lineRule="exact"/>
        <w:rPr>
          <w:rFonts w:ascii="仿宋_GB2312;仿宋" w:hAnsi="仿宋_GB2312;仿宋" w:eastAsia="仿宋_GB2312;仿宋" w:cs="宋体"/>
          <w:b/>
          <w:color w:val="auto"/>
          <w:sz w:val="24"/>
          <w:highlight w:val="none"/>
        </w:rPr>
      </w:pPr>
      <w:r>
        <w:rPr>
          <w:rFonts w:ascii="仿宋_GB2312;仿宋" w:hAnsi="仿宋_GB2312;仿宋" w:eastAsia="仿宋_GB2312;仿宋" w:cs="宋体"/>
          <w:b/>
          <w:color w:val="auto"/>
          <w:sz w:val="24"/>
          <w:highlight w:val="none"/>
        </w:rPr>
        <w:t>注：</w:t>
      </w:r>
      <w:r>
        <w:rPr>
          <w:rFonts w:ascii="仿宋_GB2312;仿宋" w:hAnsi="仿宋_GB2312;仿宋" w:eastAsia="仿宋_GB2312;仿宋" w:cs="仿宋_GB2312;仿宋"/>
          <w:color w:val="auto"/>
          <w:sz w:val="24"/>
          <w:highlight w:val="none"/>
        </w:rPr>
        <w:t>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66229689">
      <w:pPr>
        <w:spacing w:line="288" w:lineRule="auto"/>
        <w:jc w:val="center"/>
        <w:rPr>
          <w:rFonts w:ascii="仿宋" w:hAnsi="仿宋" w:eastAsia="仿宋" w:cs="仿宋"/>
          <w:b/>
          <w:color w:val="auto"/>
          <w:sz w:val="48"/>
          <w:szCs w:val="48"/>
          <w:highlight w:val="none"/>
        </w:rPr>
      </w:pPr>
    </w:p>
    <w:p w14:paraId="48DB2FAE">
      <w:pPr>
        <w:pStyle w:val="75"/>
        <w:ind w:firstLine="0"/>
        <w:rPr>
          <w:rFonts w:ascii="宋体" w:hAnsi="宋体" w:eastAsia="仿宋" w:cs="仿宋"/>
          <w:b/>
          <w:color w:val="auto"/>
          <w:sz w:val="48"/>
          <w:szCs w:val="48"/>
          <w:highlight w:val="none"/>
        </w:rPr>
      </w:pPr>
    </w:p>
    <w:sectPr>
      <w:headerReference r:id="rId4" w:type="default"/>
      <w:footerReference r:id="rId5" w:type="default"/>
      <w:pgSz w:w="11906" w:h="16838"/>
      <w:pgMar w:top="1440" w:right="1800" w:bottom="1440" w:left="1800" w:header="851" w:footer="992"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oto Sans Devanagar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iberation Serif">
    <w:altName w:val="Times New Roman"/>
    <w:panose1 w:val="00000000000000000000"/>
    <w:charset w:val="01"/>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楷体_GB2312;楷体">
    <w:altName w:val="宋体"/>
    <w:panose1 w:val="00000000000000000000"/>
    <w:charset w:val="00"/>
    <w:family w:val="auto"/>
    <w:pitch w:val="default"/>
    <w:sig w:usb0="00000000" w:usb1="00000000" w:usb2="00000000" w:usb3="00000000" w:csb0="00000000" w:csb1="00000000"/>
  </w:font>
  <w:font w:name="华文楷体;宋体">
    <w:altName w:val="宋体"/>
    <w:panose1 w:val="00000000000000000000"/>
    <w:charset w:val="00"/>
    <w:family w:val="auto"/>
    <w:pitch w:val="default"/>
    <w:sig w:usb0="00000000" w:usb1="00000000" w:usb2="00000000" w:usb3="00000000" w:csb0="00000000" w:csb1="00000000"/>
  </w:font>
  <w:font w:name="Lucida Sans;Lucida Sans Unicode">
    <w:altName w:val="Segoe Print"/>
    <w:panose1 w:val="00000000000000000000"/>
    <w:charset w:val="00"/>
    <w:family w:val="auto"/>
    <w:pitch w:val="default"/>
    <w:sig w:usb0="00000000" w:usb1="00000000" w:usb2="00000000" w:usb3="00000000" w:csb0="00000000" w:csb1="00000000"/>
  </w:font>
  <w:font w:name="??_GB2312;Times New Roman">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86F99">
    <w:pPr>
      <w:pStyle w:val="14"/>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116205" cy="127635"/>
              <wp:effectExtent l="0" t="0" r="0" b="0"/>
              <wp:wrapNone/>
              <wp:docPr id="1" name="Frame1"/>
              <wp:cNvGraphicFramePr/>
              <a:graphic xmlns:a="http://schemas.openxmlformats.org/drawingml/2006/main">
                <a:graphicData uri="http://schemas.microsoft.com/office/word/2010/wordprocessingShape">
                  <wps:wsp>
                    <wps:cNvSpPr txBox="1"/>
                    <wps:spPr>
                      <a:xfrm>
                        <a:off x="0" y="0"/>
                        <a:ext cx="116205" cy="127635"/>
                      </a:xfrm>
                      <a:prstGeom prst="rect">
                        <a:avLst/>
                      </a:prstGeom>
                      <a:solidFill>
                        <a:srgbClr val="FFFFFF">
                          <a:alpha val="0"/>
                        </a:srgbClr>
                      </a:solidFill>
                    </wps:spPr>
                    <wps:txbx>
                      <w:txbxContent>
                        <w:p w14:paraId="2FB43F45">
                          <w:pPr>
                            <w:pStyle w:val="14"/>
                          </w:pPr>
                          <w:r>
                            <w:fldChar w:fldCharType="begin"/>
                          </w:r>
                          <w:r>
                            <w:instrText xml:space="preserve">PAGE</w:instrText>
                          </w:r>
                          <w:r>
                            <w:fldChar w:fldCharType="separate"/>
                          </w:r>
                          <w:r>
                            <w:t>26</w:t>
                          </w:r>
                          <w:r>
                            <w:fldChar w:fldCharType="end"/>
                          </w:r>
                        </w:p>
                      </w:txbxContent>
                    </wps:txbx>
                    <wps:bodyPr lIns="635" tIns="635" rIns="635" bIns="635" anchor="t">
                      <a:spAutoFit/>
                    </wps:bodyPr>
                  </wps:wsp>
                </a:graphicData>
              </a:graphic>
            </wp:anchor>
          </w:drawing>
        </mc:Choice>
        <mc:Fallback>
          <w:pict>
            <v:shape id="Frame1" o:spid="_x0000_s1026" o:spt="202" type="#_x0000_t202" style="position:absolute;left:0pt;margin-top:0.05pt;height:10.05pt;width:9.15pt;mso-position-horizontal:center;mso-position-horizontal-relative:margin;z-index:-251657216;mso-width-relative:page;mso-height-relative:page;" fillcolor="#FFFFFF" filled="t" stroked="f" coordsize="21600,21600" o:allowincell="f" o:gfxdata="UEsDBAoAAAAAAIdO4kAAAAAAAAAAAAAAAAAEAAAAZHJzL1BLAwQUAAAACACHTuJA0xHAwdIAAAAD&#10;AQAADwAAAGRycy9kb3ducmV2LnhtbE2PwU7DMBBE75X4B2srcWvtphSFEKeHSL2BEAUkjtt4SaLG&#10;6yh22ubvcU5w3JnRzNt8f7OduNDgW8caNmsFgrhypuVaw+fHYZWC8AHZYOeYNEzkYV/cLXLMjLvy&#10;O12OoRaxhH2GGpoQ+kxKXzVk0a9dTxy9HzdYDPEcamkGvMZy28lEqUdpseW40GBPZUPV+ThaDajk&#10;9J2Wry/j4W37tNs9TC1+lVrfLzfqGUSgW/gLw4wf0aGITCc3svGi0xAfCbMqZi/dgjhpSFQCssjl&#10;f/biF1BLAwQUAAAACACHTuJAkKfeVcoBAAC7AwAADgAAAGRycy9lMm9Eb2MueG1srVNNb9swDL0P&#10;2H8QdF9sZ2g2GHGKtYGHAcM2oN0PkGU5FqAviErs/PtRkhcX3aWH+SBRJPXI9yjv72etyEV4kNY0&#10;tNqUlAjDbS/NqaG/n9sPnymBwEzPlDWioVcB9P7w/t1+crXY2tGqXniCIAbqyTV0DMHVRQF8FJrB&#10;xjphMDhYr1nAoz8VvWcTomtVbMtyV0zW985bLgDQe8xBuiD6twDaYZBcHC0/a2FCRvVCsYCUYJQO&#10;6CF1OwyCh5/DACIQ1VBkGtKKRdDu4loc9qw+eeZGyZcW2FtaeMVJM2mw6A3qyAIjZy//gdKSewt2&#10;CBtudZGJJEWQRVW+0uZpZE4kLig1uJvo8P9g+Y/LL09kjy+BEsM0Drz1uFVRmclBjQlPDlPC/GDn&#10;mLX4AZ2R8Dx4HXekQjCOul5vuoo5EB4vVbtteUcJx1C1/bT7eBdRivWy8xC+CqtJNBrqcWxJTXb5&#10;DiGn/k2JtcAq2bdSqXTwp+5ReXJhOOI2ffmuciPL3jRmLAc5NZV+gVFEnplPtMLczQvJzvZX5K6+&#10;GZQ8tk3CavrV7FaTGT5afGCZALgv52BbmUhE8IyIHcQDzjT1sry/+GhenlPW+s8d/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TEcDB0gAAAAMBAAAPAAAAAAAAAAEAIAAAACIAAABkcnMvZG93bnJl&#10;di54bWxQSwECFAAUAAAACACHTuJAkKfeVcoBAAC7AwAADgAAAAAAAAABACAAAAAhAQAAZHJzL2Uy&#10;b0RvYy54bWxQSwUGAAAAAAYABgBZAQAAXQUAAAAA&#10;">
              <v:fill on="t" opacity="0f" focussize="0,0"/>
              <v:stroke on="f"/>
              <v:imagedata o:title=""/>
              <o:lock v:ext="edit" aspectratio="f"/>
              <v:textbox inset="0.05pt,0.05pt,0.05pt,0.05pt" style="mso-fit-shape-to-text:t;">
                <w:txbxContent>
                  <w:p w14:paraId="2FB43F45">
                    <w:pPr>
                      <w:pStyle w:val="14"/>
                    </w:pPr>
                    <w:r>
                      <w:fldChar w:fldCharType="begin"/>
                    </w:r>
                    <w:r>
                      <w:instrText xml:space="preserve">PAGE</w:instrText>
                    </w:r>
                    <w:r>
                      <w:fldChar w:fldCharType="separate"/>
                    </w:r>
                    <w:r>
                      <w:t>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BD245">
    <w:pPr>
      <w:pStyle w:val="14"/>
      <w:jc w:val="center"/>
      <w:rPr>
        <w:rFonts w:ascii="??_GB2312;Times New Roman" w:hAnsi="??_GB2312;Times New Roman" w:eastAsia="Times New Roman"/>
      </w:rPr>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401955" cy="152400"/>
              <wp:effectExtent l="0" t="0" r="0" b="0"/>
              <wp:wrapNone/>
              <wp:docPr id="2" name="Frame2"/>
              <wp:cNvGraphicFramePr/>
              <a:graphic xmlns:a="http://schemas.openxmlformats.org/drawingml/2006/main">
                <a:graphicData uri="http://schemas.microsoft.com/office/word/2010/wordprocessingShape">
                  <wps:wsp>
                    <wps:cNvSpPr txBox="1"/>
                    <wps:spPr>
                      <a:xfrm>
                        <a:off x="0" y="0"/>
                        <a:ext cx="401955" cy="152400"/>
                      </a:xfrm>
                      <a:prstGeom prst="rect">
                        <a:avLst/>
                      </a:prstGeom>
                      <a:solidFill>
                        <a:srgbClr val="FFFFFF">
                          <a:alpha val="0"/>
                        </a:srgbClr>
                      </a:solidFill>
                    </wps:spPr>
                    <wps:txbx>
                      <w:txbxContent>
                        <w:p w14:paraId="696262BD">
                          <w:pPr>
                            <w:pStyle w:val="14"/>
                          </w:pPr>
                          <w:r>
                            <w:t>第</w:t>
                          </w:r>
                          <w:r>
                            <w:rPr>
                              <w:rFonts w:eastAsia="Times New Roman"/>
                            </w:rPr>
                            <w:t xml:space="preserve"> </w:t>
                          </w:r>
                          <w:r>
                            <w:fldChar w:fldCharType="begin"/>
                          </w:r>
                          <w:r>
                            <w:instrText xml:space="preserve">PAGE</w:instrText>
                          </w:r>
                          <w:r>
                            <w:fldChar w:fldCharType="separate"/>
                          </w:r>
                          <w:r>
                            <w:t>49</w:t>
                          </w:r>
                          <w:r>
                            <w:fldChar w:fldCharType="end"/>
                          </w:r>
                          <w:r>
                            <w:rPr>
                              <w:rFonts w:eastAsia="Times New Roman"/>
                            </w:rPr>
                            <w:t xml:space="preserve"> </w:t>
                          </w:r>
                          <w:r>
                            <w:t>页</w:t>
                          </w:r>
                        </w:p>
                      </w:txbxContent>
                    </wps:txbx>
                    <wps:bodyPr lIns="635" tIns="635" rIns="635" bIns="635" anchor="t">
                      <a:spAutoFit/>
                    </wps:bodyPr>
                  </wps:wsp>
                </a:graphicData>
              </a:graphic>
            </wp:anchor>
          </w:drawing>
        </mc:Choice>
        <mc:Fallback>
          <w:pict>
            <v:shape id="Frame2" o:spid="_x0000_s1026" o:spt="202" type="#_x0000_t202" style="position:absolute;left:0pt;margin-top:0.05pt;height:12pt;width:31.65pt;mso-position-horizontal:center;mso-position-horizontal-relative:margin;z-index:-251657216;mso-width-relative:page;mso-height-relative:page;" fillcolor="#FFFFFF" filled="t" stroked="f" coordsize="21600,21600" o:allowincell="f" o:gfxdata="UEsDBAoAAAAAAIdO4kAAAAAAAAAAAAAAAAAEAAAAZHJzL1BLAwQUAAAACACHTuJAUZps0dMAAAAD&#10;AQAADwAAAGRycy9kb3ducmV2LnhtbE2PwW7CMBBE75X6D9ZW4lbsEEA0jcMhEjeqqrSVelzibRI1&#10;XkexA+Tva05w3JnRzNt8e7GdONHgW8cakrkCQVw503Kt4etz97wB4QOywc4xaZjIw7Z4fMgxM+7M&#10;H3Q6hFrEEvYZamhC6DMpfdWQRT93PXH0ft1gMcRzqKUZ8BzLbScXSq2lxZbjQoM9lQ1Vf4fRakAl&#10;p59N+bYfd+/py2q1nFr8LrWePSXqFUSgS7iF4Yof0aGITEc3svGi0xAfCVdVRG+dpiCOGhbLBGSR&#10;y3v24h9QSwMEFAAAAAgAh07iQJG4dkXLAQAAuwMAAA4AAABkcnMvZTJvRG9jLnhtbK1TTW/bMAy9&#10;D9h/EHRf7HhNsRlxim2BhwHDNqDrD1BkORagL5BK4vz7UXISF92lh/ogkRT1yPdErx9Ga9hRAWrv&#10;Gr5clJwpJ32n3b7hT3/bD584wyhcJ4x3quFnhfxh8/7d+hRqVfnBm04BIxCH9Sk0fIgx1EWBclBW&#10;4MIH5eiw92BFJBf2RQfiROjWFFVZ3hcnD10ALxUiRbfTIb8gwmsAfd9rqbZeHqxycUIFZUQkSjjo&#10;gHyTu+17JePvvkcVmWk4MY15pSJk79JabNai3oMIg5aXFsRrWnjByQrtqOgNaiuiYAfQ/0FZLcGj&#10;7+NCeltMRLIixGJZvtDmcRBBZS4kNYab6Ph2sPLX8Q8w3TW84swJSw/eAm1VUuYUsKaEx0Apcfzq&#10;R5qXaxwpmAiPPdi0ExVG56Tr+aarGiOTFLwrl59XK84kHS1X1V2ZdS/mywEwflfesmQ0HOjZspri&#10;+BMjNUKp15RUC73RXauNyQ7sd98MsKOgJ27zN901YRBT9FoOp9SM9wyjSDwnPsmK4268kN/57kzc&#10;zQ9Hkt9/JApxNmE2d7MpnBw8DdhEAMOXQ/StziQS+IRIHSSH3jT3cpm/NDTP/Zw1/3Ob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GabNHTAAAAAwEAAA8AAAAAAAAAAQAgAAAAIgAAAGRycy9kb3du&#10;cmV2LnhtbFBLAQIUABQAAAAIAIdO4kCRuHZFywEAALsDAAAOAAAAAAAAAAEAIAAAACIBAABkcnMv&#10;ZTJvRG9jLnhtbFBLBQYAAAAABgAGAFkBAABfBQAAAAA=&#10;">
              <v:fill on="t" opacity="0f" focussize="0,0"/>
              <v:stroke on="f"/>
              <v:imagedata o:title=""/>
              <o:lock v:ext="edit" aspectratio="f"/>
              <v:textbox inset="0.05pt,0.05pt,0.05pt,0.05pt" style="mso-fit-shape-to-text:t;">
                <w:txbxContent>
                  <w:p w14:paraId="696262BD">
                    <w:pPr>
                      <w:pStyle w:val="14"/>
                    </w:pPr>
                    <w:r>
                      <w:t>第</w:t>
                    </w:r>
                    <w:r>
                      <w:rPr>
                        <w:rFonts w:eastAsia="Times New Roman"/>
                      </w:rPr>
                      <w:t xml:space="preserve"> </w:t>
                    </w:r>
                    <w:r>
                      <w:fldChar w:fldCharType="begin"/>
                    </w:r>
                    <w:r>
                      <w:instrText xml:space="preserve">PAGE</w:instrText>
                    </w:r>
                    <w:r>
                      <w:fldChar w:fldCharType="separate"/>
                    </w:r>
                    <w:r>
                      <w:t>49</w:t>
                    </w:r>
                    <w:r>
                      <w:fldChar w:fldCharType="end"/>
                    </w:r>
                    <w:r>
                      <w:rPr>
                        <w:rFonts w:eastAsia="Times New Roman"/>
                      </w:rPr>
                      <w:t xml:space="preserve"> </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F538A">
    <w:pPr>
      <w:pStyle w:val="58"/>
      <w:spacing w:before="240" w:after="60"/>
      <w:ind w:firstLine="180"/>
      <w:jc w:val="both"/>
      <w:rPr>
        <w:rFonts w:ascii="??_GB2312;Times New Roman" w:hAnsi="??_GB2312;Times New Roman" w:eastAsia="Times New Roman"/>
        <w:b w:val="0"/>
        <w:i/>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
      <w:suff w:val="nothing"/>
      <w:lvlText w:val="（%1）"/>
      <w:lvlJc w:val="left"/>
      <w:pPr>
        <w:tabs>
          <w:tab w:val="left" w:pos="0"/>
        </w:tabs>
        <w:ind w:left="0" w:firstLine="0"/>
      </w:pPr>
      <w:rPr>
        <w:rFonts w:cs="仿宋"/>
      </w:rPr>
    </w:lvl>
  </w:abstractNum>
  <w:abstractNum w:abstractNumId="1">
    <w:nsid w:val="B6937B38"/>
    <w:multiLevelType w:val="singleLevel"/>
    <w:tmpl w:val="B6937B38"/>
    <w:lvl w:ilvl="0" w:tentative="0">
      <w:start w:val="1"/>
      <w:numFmt w:val="decimal"/>
      <w:suff w:val="nothing"/>
      <w:lvlText w:val="（%1）"/>
      <w:lvlJc w:val="left"/>
      <w:rPr>
        <w:rFonts w:hint="default"/>
        <w:sz w:val="22"/>
        <w:szCs w:val="22"/>
      </w:rPr>
    </w:lvl>
  </w:abstractNum>
  <w:abstractNum w:abstractNumId="2">
    <w:nsid w:val="BF205925"/>
    <w:multiLevelType w:val="singleLevel"/>
    <w:tmpl w:val="BF205925"/>
    <w:lvl w:ilvl="0" w:tentative="0">
      <w:start w:val="1"/>
      <w:numFmt w:val="decimal"/>
      <w:pStyle w:val="65"/>
      <w:lvlText w:val="%1."/>
      <w:lvlJc w:val="left"/>
      <w:pPr>
        <w:tabs>
          <w:tab w:val="left" w:pos="0"/>
        </w:tabs>
        <w:ind w:left="1200" w:hanging="360"/>
      </w:pPr>
      <w:rPr>
        <w:rFonts w:cs="Times New Roman"/>
      </w:rPr>
    </w:lvl>
  </w:abstractNum>
  <w:abstractNum w:abstractNumId="3">
    <w:nsid w:val="CF092B84"/>
    <w:multiLevelType w:val="singleLevel"/>
    <w:tmpl w:val="CF092B84"/>
    <w:lvl w:ilvl="0" w:tentative="0">
      <w:start w:val="1"/>
      <w:numFmt w:val="decimal"/>
      <w:pStyle w:val="60"/>
      <w:lvlText w:val="%1."/>
      <w:lvlJc w:val="left"/>
      <w:pPr>
        <w:tabs>
          <w:tab w:val="left" w:pos="0"/>
        </w:tabs>
        <w:ind w:left="780" w:hanging="360"/>
      </w:pPr>
      <w:rPr>
        <w:rFonts w:cs="Times New Roman"/>
      </w:rPr>
    </w:lvl>
  </w:abstractNum>
  <w:abstractNum w:abstractNumId="4">
    <w:nsid w:val="0053208E"/>
    <w:multiLevelType w:val="multilevel"/>
    <w:tmpl w:val="0053208E"/>
    <w:lvl w:ilvl="0" w:tentative="0">
      <w:start w:val="1"/>
      <w:numFmt w:val="decimal"/>
      <w:pStyle w:val="3"/>
      <w:suff w:val="space"/>
      <w:lvlText w:val="第 %1 章"/>
      <w:lvlJc w:val="left"/>
      <w:pPr>
        <w:tabs>
          <w:tab w:val="left" w:pos="0"/>
        </w:tabs>
        <w:ind w:left="425" w:hanging="425"/>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5">
    <w:nsid w:val="03D62ECE"/>
    <w:multiLevelType w:val="multilevel"/>
    <w:tmpl w:val="03D62ECE"/>
    <w:lvl w:ilvl="0" w:tentative="0">
      <w:start w:val="1"/>
      <w:numFmt w:val="decimal"/>
      <w:lvlText w:val="%1."/>
      <w:lvlJc w:val="left"/>
      <w:pPr>
        <w:tabs>
          <w:tab w:val="left" w:pos="0"/>
        </w:tabs>
        <w:ind w:left="360" w:hanging="360"/>
      </w:pPr>
      <w:rPr>
        <w:rFonts w:cs="Times New Roman"/>
      </w:rPr>
    </w:lvl>
    <w:lvl w:ilvl="1" w:tentative="0">
      <w:start w:val="1"/>
      <w:numFmt w:val="lowerLetter"/>
      <w:lvlText w:val="%2)"/>
      <w:lvlJc w:val="left"/>
      <w:pPr>
        <w:tabs>
          <w:tab w:val="left" w:pos="0"/>
        </w:tabs>
        <w:ind w:left="840" w:hanging="420"/>
      </w:pPr>
      <w:rPr>
        <w:rFonts w:cs="Times New Roman"/>
      </w:rPr>
    </w:lvl>
    <w:lvl w:ilvl="2" w:tentative="0">
      <w:start w:val="1"/>
      <w:numFmt w:val="lowerRoman"/>
      <w:lvlText w:val="%3."/>
      <w:lvlJc w:val="right"/>
      <w:pPr>
        <w:tabs>
          <w:tab w:val="left" w:pos="0"/>
        </w:tabs>
        <w:ind w:left="1260" w:hanging="420"/>
      </w:pPr>
      <w:rPr>
        <w:rFonts w:cs="Times New Roman"/>
      </w:rPr>
    </w:lvl>
    <w:lvl w:ilvl="3" w:tentative="0">
      <w:start w:val="1"/>
      <w:numFmt w:val="decimal"/>
      <w:lvlText w:val="%4."/>
      <w:lvlJc w:val="left"/>
      <w:pPr>
        <w:tabs>
          <w:tab w:val="left" w:pos="0"/>
        </w:tabs>
        <w:ind w:left="1680" w:hanging="420"/>
      </w:pPr>
      <w:rPr>
        <w:rFonts w:cs="Times New Roman"/>
      </w:rPr>
    </w:lvl>
    <w:lvl w:ilvl="4" w:tentative="0">
      <w:start w:val="1"/>
      <w:numFmt w:val="lowerLetter"/>
      <w:lvlText w:val="%5)"/>
      <w:lvlJc w:val="left"/>
      <w:pPr>
        <w:tabs>
          <w:tab w:val="left" w:pos="0"/>
        </w:tabs>
        <w:ind w:left="2100" w:hanging="420"/>
      </w:pPr>
      <w:rPr>
        <w:rFonts w:cs="Times New Roman"/>
      </w:rPr>
    </w:lvl>
    <w:lvl w:ilvl="5" w:tentative="0">
      <w:start w:val="1"/>
      <w:numFmt w:val="lowerRoman"/>
      <w:lvlText w:val="%6."/>
      <w:lvlJc w:val="right"/>
      <w:pPr>
        <w:tabs>
          <w:tab w:val="left" w:pos="0"/>
        </w:tabs>
        <w:ind w:left="2520" w:hanging="420"/>
      </w:pPr>
      <w:rPr>
        <w:rFonts w:cs="Times New Roman"/>
      </w:rPr>
    </w:lvl>
    <w:lvl w:ilvl="6" w:tentative="0">
      <w:start w:val="1"/>
      <w:numFmt w:val="decimal"/>
      <w:lvlText w:val="%7."/>
      <w:lvlJc w:val="left"/>
      <w:pPr>
        <w:tabs>
          <w:tab w:val="left" w:pos="0"/>
        </w:tabs>
        <w:ind w:left="2940" w:hanging="420"/>
      </w:pPr>
      <w:rPr>
        <w:rFonts w:cs="Times New Roman"/>
      </w:rPr>
    </w:lvl>
    <w:lvl w:ilvl="7" w:tentative="0">
      <w:start w:val="1"/>
      <w:numFmt w:val="lowerLetter"/>
      <w:lvlText w:val="%8)"/>
      <w:lvlJc w:val="left"/>
      <w:pPr>
        <w:tabs>
          <w:tab w:val="left" w:pos="0"/>
        </w:tabs>
        <w:ind w:left="3360" w:hanging="420"/>
      </w:pPr>
      <w:rPr>
        <w:rFonts w:cs="Times New Roman"/>
      </w:rPr>
    </w:lvl>
    <w:lvl w:ilvl="8" w:tentative="0">
      <w:start w:val="1"/>
      <w:numFmt w:val="lowerRoman"/>
      <w:lvlText w:val="%9."/>
      <w:lvlJc w:val="right"/>
      <w:pPr>
        <w:tabs>
          <w:tab w:val="left" w:pos="0"/>
        </w:tabs>
        <w:ind w:left="3780" w:hanging="420"/>
      </w:pPr>
      <w:rPr>
        <w:rFonts w:cs="Times New Roman"/>
      </w:rPr>
    </w:lvl>
  </w:abstractNum>
  <w:abstractNum w:abstractNumId="6">
    <w:nsid w:val="05D4CEB7"/>
    <w:multiLevelType w:val="singleLevel"/>
    <w:tmpl w:val="05D4CEB7"/>
    <w:lvl w:ilvl="0" w:tentative="0">
      <w:start w:val="1"/>
      <w:numFmt w:val="decimal"/>
      <w:suff w:val="nothing"/>
      <w:lvlText w:val="（%1）"/>
      <w:lvlJc w:val="left"/>
    </w:lvl>
  </w:abstractNum>
  <w:abstractNum w:abstractNumId="7">
    <w:nsid w:val="12ACD0F2"/>
    <w:multiLevelType w:val="singleLevel"/>
    <w:tmpl w:val="12ACD0F2"/>
    <w:lvl w:ilvl="0" w:tentative="0">
      <w:start w:val="1"/>
      <w:numFmt w:val="decimal"/>
      <w:suff w:val="nothing"/>
      <w:lvlText w:val="（%1）"/>
      <w:lvlJc w:val="left"/>
    </w:lvl>
  </w:abstractNum>
  <w:abstractNum w:abstractNumId="8">
    <w:nsid w:val="1E65B13D"/>
    <w:multiLevelType w:val="singleLevel"/>
    <w:tmpl w:val="1E65B13D"/>
    <w:lvl w:ilvl="0" w:tentative="0">
      <w:start w:val="1"/>
      <w:numFmt w:val="decimal"/>
      <w:suff w:val="nothing"/>
      <w:lvlText w:val="（%1）"/>
      <w:lvlJc w:val="left"/>
    </w:lvl>
  </w:abstractNum>
  <w:abstractNum w:abstractNumId="9">
    <w:nsid w:val="3078827B"/>
    <w:multiLevelType w:val="singleLevel"/>
    <w:tmpl w:val="3078827B"/>
    <w:lvl w:ilvl="0" w:tentative="0">
      <w:start w:val="1"/>
      <w:numFmt w:val="decimal"/>
      <w:suff w:val="nothing"/>
      <w:lvlText w:val="（%1）"/>
      <w:lvlJc w:val="left"/>
    </w:lvl>
  </w:abstractNum>
  <w:abstractNum w:abstractNumId="10">
    <w:nsid w:val="59ADCABA"/>
    <w:multiLevelType w:val="singleLevel"/>
    <w:tmpl w:val="59ADCABA"/>
    <w:lvl w:ilvl="0" w:tentative="0">
      <w:start w:val="1"/>
      <w:numFmt w:val="decimal"/>
      <w:pStyle w:val="61"/>
      <w:lvlText w:val="%1."/>
      <w:lvlJc w:val="left"/>
      <w:pPr>
        <w:tabs>
          <w:tab w:val="left" w:pos="0"/>
        </w:tabs>
        <w:ind w:left="360" w:hanging="360"/>
      </w:pPr>
      <w:rPr>
        <w:rFonts w:cs="Times New Roman"/>
      </w:rPr>
    </w:lvl>
  </w:abstractNum>
  <w:num w:numId="1">
    <w:abstractNumId w:val="4"/>
  </w:num>
  <w:num w:numId="2">
    <w:abstractNumId w:val="3"/>
  </w:num>
  <w:num w:numId="3">
    <w:abstractNumId w:val="10"/>
  </w:num>
  <w:num w:numId="4">
    <w:abstractNumId w:val="2"/>
  </w:num>
  <w:num w:numId="5">
    <w:abstractNumId w:val="0"/>
  </w:num>
  <w:num w:numId="6">
    <w:abstractNumId w:val="5"/>
  </w:num>
  <w:num w:numId="7">
    <w:abstractNumId w:val="6"/>
  </w:num>
  <w:num w:numId="8">
    <w:abstractNumId w:val="7"/>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autoHyphenation/>
  <w:compat>
    <w:noLeading/>
    <w:doNotExpandShiftReturn/>
    <w:useFELayout/>
    <w:compatSetting w:name="compatibilityMode" w:uri="http://schemas.microsoft.com/office/word" w:val="14"/>
  </w:compat>
  <w:rsids>
    <w:rsidRoot w:val="00000000"/>
    <w:rsid w:val="026F3627"/>
    <w:rsid w:val="043961EB"/>
    <w:rsid w:val="06426836"/>
    <w:rsid w:val="278A0E26"/>
    <w:rsid w:val="3350095F"/>
    <w:rsid w:val="442D0182"/>
    <w:rsid w:val="454B2D37"/>
    <w:rsid w:val="58FE251F"/>
    <w:rsid w:val="5AE333CC"/>
    <w:rsid w:val="76AB51D3"/>
    <w:rsid w:val="7EA03C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微软雅黑" w:cs="Noto Sans Devanaga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Times New Roman" w:hAnsi="Times New Roman" w:eastAsia="宋体" w:cs="Times New Roman"/>
      <w:color w:val="auto"/>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6" w:lineRule="auto"/>
      <w:outlineLvl w:val="0"/>
    </w:pPr>
    <w:rPr>
      <w:rFonts w:eastAsia="仿宋_GB2312;仿宋"/>
      <w:b/>
      <w:kern w:val="2"/>
      <w:sz w:val="44"/>
      <w:szCs w:val="20"/>
    </w:rPr>
  </w:style>
  <w:style w:type="paragraph" w:styleId="4">
    <w:name w:val="heading 2"/>
    <w:basedOn w:val="1"/>
    <w:next w:val="1"/>
    <w:qFormat/>
    <w:uiPriority w:val="0"/>
    <w:pPr>
      <w:keepNext/>
      <w:keepLines/>
      <w:spacing w:before="260" w:after="260" w:line="415" w:lineRule="auto"/>
      <w:outlineLvl w:val="1"/>
    </w:pPr>
    <w:rPr>
      <w:rFonts w:ascii="Calibri Light" w:hAnsi="Calibri Light" w:cs="Calibri Light"/>
      <w:b/>
      <w:bCs/>
      <w:kern w:val="0"/>
      <w:sz w:val="32"/>
      <w:szCs w:val="32"/>
    </w:rPr>
  </w:style>
  <w:style w:type="paragraph" w:styleId="5">
    <w:name w:val="heading 3"/>
    <w:basedOn w:val="1"/>
    <w:next w:val="1"/>
    <w:qFormat/>
    <w:uiPriority w:val="0"/>
    <w:pPr>
      <w:keepNext/>
      <w:keepLines/>
      <w:spacing w:before="260" w:after="260" w:line="415" w:lineRule="auto"/>
      <w:outlineLvl w:val="2"/>
    </w:pPr>
    <w:rPr>
      <w:b/>
      <w:bCs/>
      <w:kern w:val="0"/>
      <w:sz w:val="32"/>
      <w:szCs w:val="32"/>
    </w:rPr>
  </w:style>
  <w:style w:type="paragraph" w:styleId="6">
    <w:name w:val="heading 4"/>
    <w:basedOn w:val="1"/>
    <w:next w:val="1"/>
    <w:qFormat/>
    <w:uiPriority w:val="0"/>
    <w:pPr>
      <w:keepNext/>
      <w:keepLines/>
      <w:spacing w:before="280" w:after="290" w:line="374" w:lineRule="auto"/>
      <w:outlineLvl w:val="3"/>
    </w:pPr>
    <w:rPr>
      <w:rFonts w:ascii="Calibri Light" w:hAnsi="Calibri Light" w:cs="Calibri Light"/>
      <w:b/>
      <w:bCs/>
      <w:kern w:val="0"/>
      <w:sz w:val="28"/>
      <w:szCs w:val="28"/>
    </w:rPr>
  </w:style>
  <w:style w:type="character" w:default="1" w:styleId="18">
    <w:name w:val="Default Paragraph Font"/>
    <w:semiHidden/>
    <w:qFormat/>
    <w:uiPriority w:val="0"/>
  </w:style>
  <w:style w:type="table" w:default="1" w:styleId="1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a heading"/>
    <w:basedOn w:val="1"/>
    <w:next w:val="1"/>
    <w:qFormat/>
    <w:uiPriority w:val="0"/>
    <w:pPr>
      <w:spacing w:before="120" w:beforeLines="0"/>
    </w:pPr>
    <w:rPr>
      <w:rFonts w:ascii="Arial" w:hAnsi="Arial"/>
      <w:sz w:val="24"/>
      <w:szCs w:val="20"/>
    </w:rPr>
  </w:style>
  <w:style w:type="paragraph" w:styleId="7">
    <w:name w:val="caption"/>
    <w:basedOn w:val="1"/>
    <w:qFormat/>
    <w:uiPriority w:val="0"/>
    <w:pPr>
      <w:suppressLineNumbers/>
      <w:spacing w:before="120" w:after="120"/>
    </w:pPr>
    <w:rPr>
      <w:rFonts w:cs="Noto Sans Devanagari"/>
      <w:i/>
      <w:iCs/>
      <w:sz w:val="24"/>
      <w:szCs w:val="24"/>
    </w:rPr>
  </w:style>
  <w:style w:type="paragraph" w:styleId="8">
    <w:name w:val="annotation text"/>
    <w:basedOn w:val="1"/>
    <w:qFormat/>
    <w:uiPriority w:val="0"/>
    <w:pPr>
      <w:jc w:val="left"/>
    </w:pPr>
  </w:style>
  <w:style w:type="paragraph" w:styleId="9">
    <w:name w:val="Body Text"/>
    <w:basedOn w:val="1"/>
    <w:next w:val="6"/>
    <w:qFormat/>
    <w:uiPriority w:val="0"/>
    <w:pPr>
      <w:spacing w:line="360" w:lineRule="auto"/>
    </w:pPr>
    <w:rPr>
      <w:rFonts w:eastAsia="仿宋_GB2312;仿宋"/>
      <w:sz w:val="28"/>
    </w:rPr>
  </w:style>
  <w:style w:type="paragraph" w:styleId="10">
    <w:name w:val="Body Text Indent"/>
    <w:basedOn w:val="1"/>
    <w:next w:val="11"/>
    <w:qFormat/>
    <w:uiPriority w:val="0"/>
    <w:pPr>
      <w:spacing w:before="0" w:after="120"/>
      <w:ind w:left="420" w:firstLine="0"/>
    </w:pPr>
    <w:rPr>
      <w:kern w:val="0"/>
      <w:sz w:val="24"/>
    </w:rPr>
  </w:style>
  <w:style w:type="paragraph" w:customStyle="1" w:styleId="11">
    <w:name w:val="正文首行缩进 21"/>
    <w:basedOn w:val="10"/>
    <w:next w:val="12"/>
    <w:qFormat/>
    <w:uiPriority w:val="0"/>
    <w:pPr>
      <w:ind w:left="420" w:firstLine="420"/>
    </w:pPr>
  </w:style>
  <w:style w:type="paragraph" w:customStyle="1" w:styleId="12">
    <w:name w:val="正文首行缩进1"/>
    <w:basedOn w:val="9"/>
    <w:next w:val="13"/>
    <w:qFormat/>
    <w:uiPriority w:val="0"/>
    <w:pPr>
      <w:spacing w:before="0" w:after="120" w:line="240" w:lineRule="auto"/>
      <w:ind w:firstLine="420"/>
    </w:pPr>
    <w:rPr>
      <w:rFonts w:eastAsia="宋体"/>
      <w:sz w:val="21"/>
    </w:rPr>
  </w:style>
  <w:style w:type="paragraph" w:styleId="13">
    <w:name w:val="toc 6"/>
    <w:basedOn w:val="1"/>
    <w:next w:val="1"/>
    <w:qFormat/>
    <w:uiPriority w:val="0"/>
    <w:pPr>
      <w:ind w:left="1700" w:firstLine="0"/>
      <w:jc w:val="both"/>
    </w:pPr>
    <w:rPr>
      <w:rFonts w:ascii="宋体" w:hAnsi="宋体" w:cs="宋体"/>
      <w:sz w:val="21"/>
      <w:lang w:val="en-US" w:eastAsia="zh-CN" w:bidi="ar-SA"/>
    </w:rPr>
  </w:style>
  <w:style w:type="paragraph" w:styleId="14">
    <w:name w:val="footer"/>
    <w:basedOn w:val="1"/>
    <w:qFormat/>
    <w:uiPriority w:val="0"/>
    <w:pPr>
      <w:tabs>
        <w:tab w:val="center" w:pos="4153"/>
        <w:tab w:val="right" w:pos="8306"/>
      </w:tabs>
      <w:snapToGrid w:val="0"/>
      <w:jc w:val="left"/>
    </w:pPr>
    <w:rPr>
      <w:kern w:val="0"/>
      <w:sz w:val="18"/>
      <w:szCs w:val="18"/>
    </w:rPr>
  </w:style>
  <w:style w:type="paragraph" w:styleId="15">
    <w:name w:val="header"/>
    <w:basedOn w:val="1"/>
    <w:qFormat/>
    <w:uiPriority w:val="0"/>
    <w:pPr>
      <w:pBdr>
        <w:bottom w:val="single" w:color="000000" w:sz="6" w:space="1"/>
      </w:pBdr>
      <w:tabs>
        <w:tab w:val="center" w:pos="4153"/>
        <w:tab w:val="right" w:pos="8306"/>
      </w:tabs>
      <w:snapToGrid w:val="0"/>
      <w:jc w:val="center"/>
    </w:pPr>
    <w:rPr>
      <w:kern w:val="0"/>
      <w:sz w:val="18"/>
      <w:szCs w:val="20"/>
    </w:rPr>
  </w:style>
  <w:style w:type="paragraph" w:styleId="16">
    <w:name w:val="List"/>
    <w:basedOn w:val="9"/>
    <w:qFormat/>
    <w:uiPriority w:val="0"/>
    <w:rPr>
      <w:rFonts w:cs="Noto Sans Devanagari"/>
    </w:rPr>
  </w:style>
  <w:style w:type="character" w:styleId="19">
    <w:name w:val="page number"/>
    <w:basedOn w:val="20"/>
    <w:qFormat/>
    <w:uiPriority w:val="0"/>
    <w:rPr>
      <w:rFonts w:ascii="Arial" w:hAnsi="Arial" w:eastAsia="黑体" w:cs="Times New Roman"/>
      <w:kern w:val="0"/>
      <w:sz w:val="21"/>
    </w:rPr>
  </w:style>
  <w:style w:type="character" w:customStyle="1" w:styleId="20">
    <w:name w:val="默认段落字体1"/>
    <w:qFormat/>
    <w:uiPriority w:val="0"/>
  </w:style>
  <w:style w:type="character" w:styleId="21">
    <w:name w:val="FollowedHyperlink"/>
    <w:basedOn w:val="20"/>
    <w:qFormat/>
    <w:uiPriority w:val="0"/>
    <w:rPr>
      <w:rFonts w:cs="Times New Roman"/>
      <w:color w:val="800080"/>
      <w:u w:val="none"/>
    </w:rPr>
  </w:style>
  <w:style w:type="character" w:styleId="22">
    <w:name w:val="Hyperlink"/>
    <w:basedOn w:val="20"/>
    <w:qFormat/>
    <w:uiPriority w:val="0"/>
    <w:rPr>
      <w:rFonts w:cs="Times New Roman"/>
      <w:color w:val="0000FF"/>
      <w:u w:val="single"/>
    </w:rPr>
  </w:style>
  <w:style w:type="character" w:customStyle="1" w:styleId="23">
    <w:name w:val="WW8Num1z0"/>
    <w:qFormat/>
    <w:uiPriority w:val="0"/>
    <w:rPr>
      <w:rFonts w:cs="仿宋"/>
    </w:rPr>
  </w:style>
  <w:style w:type="character" w:customStyle="1" w:styleId="24">
    <w:name w:val="WW8Num2z0"/>
    <w:qFormat/>
    <w:uiPriority w:val="0"/>
    <w:rPr>
      <w:rFonts w:cs="Times New Roman"/>
    </w:rPr>
  </w:style>
  <w:style w:type="character" w:customStyle="1" w:styleId="25">
    <w:name w:val="WW8Num3z0"/>
    <w:qFormat/>
    <w:uiPriority w:val="0"/>
    <w:rPr>
      <w:rFonts w:cs="Times New Roman"/>
    </w:rPr>
  </w:style>
  <w:style w:type="character" w:customStyle="1" w:styleId="26">
    <w:name w:val="WW8Num4z0"/>
    <w:qFormat/>
    <w:uiPriority w:val="0"/>
    <w:rPr>
      <w:rFonts w:cs="Times New Roman"/>
    </w:rPr>
  </w:style>
  <w:style w:type="character" w:customStyle="1" w:styleId="27">
    <w:name w:val="WW8Num5z0"/>
    <w:qFormat/>
    <w:uiPriority w:val="0"/>
  </w:style>
  <w:style w:type="character" w:customStyle="1" w:styleId="28">
    <w:name w:val="WW8Num6z0"/>
    <w:qFormat/>
    <w:uiPriority w:val="0"/>
    <w:rPr>
      <w:rFonts w:cs="Times New Roman"/>
    </w:rPr>
  </w:style>
  <w:style w:type="character" w:customStyle="1" w:styleId="29">
    <w:name w:val="WW8Num6z1"/>
    <w:qFormat/>
    <w:uiPriority w:val="0"/>
    <w:rPr>
      <w:rFonts w:cs="Times New Roman"/>
    </w:rPr>
  </w:style>
  <w:style w:type="character" w:customStyle="1" w:styleId="30">
    <w:name w:val="标题 2 Char"/>
    <w:basedOn w:val="20"/>
    <w:qFormat/>
    <w:uiPriority w:val="0"/>
    <w:rPr>
      <w:rFonts w:ascii="Calibri Light" w:hAnsi="Calibri Light" w:eastAsia="宋体" w:cs="Calibri Light"/>
      <w:b/>
      <w:sz w:val="32"/>
    </w:rPr>
  </w:style>
  <w:style w:type="character" w:customStyle="1" w:styleId="31">
    <w:name w:val="标题 3 Char"/>
    <w:basedOn w:val="20"/>
    <w:qFormat/>
    <w:uiPriority w:val="0"/>
    <w:rPr>
      <w:rFonts w:ascii="Times New Roman" w:hAnsi="Times New Roman" w:eastAsia="宋体" w:cs="Times New Roman"/>
      <w:b/>
      <w:sz w:val="32"/>
    </w:rPr>
  </w:style>
  <w:style w:type="character" w:customStyle="1" w:styleId="32">
    <w:name w:val="标题 4 Char"/>
    <w:basedOn w:val="20"/>
    <w:qFormat/>
    <w:uiPriority w:val="0"/>
    <w:rPr>
      <w:rFonts w:ascii="Calibri Light" w:hAnsi="Calibri Light" w:eastAsia="宋体" w:cs="Calibri Light"/>
      <w:b/>
      <w:sz w:val="28"/>
    </w:rPr>
  </w:style>
  <w:style w:type="character" w:customStyle="1" w:styleId="33">
    <w:name w:val="正文缩进 Char"/>
    <w:qFormat/>
    <w:uiPriority w:val="0"/>
    <w:rPr>
      <w:rFonts w:ascii="宋体" w:hAnsi="宋体" w:eastAsia="宋体"/>
      <w:color w:val="000000"/>
      <w:kern w:val="2"/>
      <w:sz w:val="28"/>
    </w:rPr>
  </w:style>
  <w:style w:type="character" w:customStyle="1" w:styleId="34">
    <w:name w:val="文档结构图 Char1"/>
    <w:basedOn w:val="20"/>
    <w:qFormat/>
    <w:uiPriority w:val="0"/>
    <w:rPr>
      <w:rFonts w:ascii="宋体" w:hAnsi="宋体" w:cs="Times New Roman"/>
      <w:kern w:val="2"/>
      <w:sz w:val="18"/>
    </w:rPr>
  </w:style>
  <w:style w:type="character" w:customStyle="1" w:styleId="35">
    <w:name w:val="批注文字 Char"/>
    <w:basedOn w:val="20"/>
    <w:qFormat/>
    <w:uiPriority w:val="0"/>
    <w:rPr>
      <w:rFonts w:ascii="Times New Roman" w:hAnsi="Times New Roman" w:eastAsia="宋体" w:cs="Times New Roman"/>
      <w:kern w:val="0"/>
      <w:sz w:val="24"/>
      <w:lang w:val="zh-CN" w:eastAsia="zh-CN"/>
    </w:rPr>
  </w:style>
  <w:style w:type="character" w:customStyle="1" w:styleId="36">
    <w:name w:val="正文文本 Char"/>
    <w:basedOn w:val="20"/>
    <w:qFormat/>
    <w:uiPriority w:val="0"/>
    <w:rPr>
      <w:rFonts w:eastAsia="仿宋_GB2312;仿宋"/>
      <w:kern w:val="2"/>
      <w:sz w:val="28"/>
      <w:szCs w:val="24"/>
    </w:rPr>
  </w:style>
  <w:style w:type="character" w:customStyle="1" w:styleId="37">
    <w:name w:val="正文文本缩进 Char"/>
    <w:basedOn w:val="20"/>
    <w:qFormat/>
    <w:uiPriority w:val="0"/>
    <w:rPr>
      <w:rFonts w:ascii="Times New Roman" w:hAnsi="Times New Roman" w:cs="Times New Roman"/>
      <w:sz w:val="24"/>
    </w:rPr>
  </w:style>
  <w:style w:type="character" w:customStyle="1" w:styleId="38">
    <w:name w:val="正文首行缩进 Char"/>
    <w:basedOn w:val="36"/>
    <w:qFormat/>
    <w:uiPriority w:val="0"/>
    <w:rPr>
      <w:sz w:val="21"/>
    </w:rPr>
  </w:style>
  <w:style w:type="character" w:customStyle="1" w:styleId="39">
    <w:name w:val="纯文本 Char"/>
    <w:basedOn w:val="20"/>
    <w:qFormat/>
    <w:uiPriority w:val="0"/>
    <w:rPr>
      <w:rFonts w:ascii="宋体" w:hAnsi="宋体" w:eastAsia="宋体" w:cs="Courier New"/>
      <w:sz w:val="21"/>
    </w:rPr>
  </w:style>
  <w:style w:type="character" w:customStyle="1" w:styleId="40">
    <w:name w:val="日期 Char"/>
    <w:basedOn w:val="20"/>
    <w:qFormat/>
    <w:uiPriority w:val="0"/>
    <w:rPr>
      <w:rFonts w:ascii="宋体" w:hAnsi="宋体"/>
      <w:sz w:val="21"/>
      <w:lang w:val="zh-CN"/>
    </w:rPr>
  </w:style>
  <w:style w:type="character" w:customStyle="1" w:styleId="41">
    <w:name w:val="正文文本缩进 2 Char"/>
    <w:basedOn w:val="20"/>
    <w:qFormat/>
    <w:uiPriority w:val="0"/>
    <w:rPr>
      <w:szCs w:val="24"/>
    </w:rPr>
  </w:style>
  <w:style w:type="character" w:customStyle="1" w:styleId="42">
    <w:name w:val="批注框文本 Char"/>
    <w:basedOn w:val="20"/>
    <w:qFormat/>
    <w:uiPriority w:val="0"/>
    <w:rPr>
      <w:kern w:val="2"/>
      <w:sz w:val="18"/>
      <w:szCs w:val="18"/>
    </w:rPr>
  </w:style>
  <w:style w:type="character" w:customStyle="1" w:styleId="43">
    <w:name w:val="页脚 Char"/>
    <w:basedOn w:val="20"/>
    <w:qFormat/>
    <w:uiPriority w:val="0"/>
    <w:rPr>
      <w:rFonts w:ascii="Times New Roman" w:hAnsi="Times New Roman" w:eastAsia="宋体" w:cs="Times New Roman"/>
      <w:sz w:val="18"/>
    </w:rPr>
  </w:style>
  <w:style w:type="character" w:customStyle="1" w:styleId="44">
    <w:name w:val="页眉 Char"/>
    <w:qFormat/>
    <w:uiPriority w:val="0"/>
    <w:rPr>
      <w:rFonts w:ascii="Times New Roman" w:hAnsi="Times New Roman" w:eastAsia="宋体" w:cs="Times New Roman"/>
      <w:sz w:val="18"/>
    </w:rPr>
  </w:style>
  <w:style w:type="character" w:customStyle="1" w:styleId="45">
    <w:name w:val="正文文本 2 Char"/>
    <w:basedOn w:val="20"/>
    <w:qFormat/>
    <w:uiPriority w:val="0"/>
    <w:rPr>
      <w:rFonts w:ascii="Times New Roman" w:hAnsi="Times New Roman" w:cs="Times New Roman"/>
      <w:sz w:val="24"/>
    </w:rPr>
  </w:style>
  <w:style w:type="character" w:customStyle="1" w:styleId="46">
    <w:name w:val="标题 Char"/>
    <w:basedOn w:val="20"/>
    <w:qFormat/>
    <w:uiPriority w:val="0"/>
    <w:rPr>
      <w:rFonts w:ascii="Calibri Light" w:hAnsi="Calibri Light" w:eastAsia="宋体" w:cs="Calibri Light"/>
      <w:b/>
      <w:sz w:val="32"/>
    </w:rPr>
  </w:style>
  <w:style w:type="character" w:customStyle="1" w:styleId="47">
    <w:name w:val="批注主题 Char"/>
    <w:basedOn w:val="35"/>
    <w:qFormat/>
    <w:uiPriority w:val="0"/>
    <w:rPr>
      <w:rFonts w:ascii="Times New Roman" w:hAnsi="Times New Roman" w:eastAsia="宋体" w:cs="Times New Roman"/>
      <w:b/>
      <w:kern w:val="0"/>
      <w:sz w:val="24"/>
      <w:lang w:val="zh-CN" w:eastAsia="zh-CN"/>
    </w:rPr>
  </w:style>
  <w:style w:type="character" w:customStyle="1" w:styleId="48">
    <w:name w:val="批注引用1"/>
    <w:basedOn w:val="20"/>
    <w:qFormat/>
    <w:uiPriority w:val="0"/>
    <w:rPr>
      <w:sz w:val="21"/>
      <w:szCs w:val="21"/>
    </w:rPr>
  </w:style>
  <w:style w:type="character" w:customStyle="1" w:styleId="49">
    <w:name w:val="Header Char"/>
    <w:basedOn w:val="20"/>
    <w:qFormat/>
    <w:uiPriority w:val="0"/>
    <w:rPr>
      <w:rFonts w:ascii="Times New Roman" w:hAnsi="Times New Roman" w:eastAsia="宋体" w:cs="Times New Roman"/>
      <w:sz w:val="18"/>
    </w:rPr>
  </w:style>
  <w:style w:type="character" w:customStyle="1" w:styleId="50">
    <w:name w:val="日期 Char1"/>
    <w:qFormat/>
    <w:uiPriority w:val="0"/>
    <w:rPr>
      <w:rFonts w:ascii="Times New Roman" w:hAnsi="Times New Roman" w:eastAsia="宋体" w:cs="Times New Roman"/>
      <w:sz w:val="24"/>
    </w:rPr>
  </w:style>
  <w:style w:type="character" w:customStyle="1" w:styleId="51">
    <w:name w:val="纯文本 Char1"/>
    <w:qFormat/>
    <w:uiPriority w:val="0"/>
    <w:rPr>
      <w:rFonts w:ascii="宋体" w:hAnsi="宋体" w:eastAsia="宋体" w:cs="Courier New"/>
      <w:sz w:val="21"/>
    </w:rPr>
  </w:style>
  <w:style w:type="character" w:customStyle="1" w:styleId="52">
    <w:name w:val="正文段 Char"/>
    <w:qFormat/>
    <w:uiPriority w:val="0"/>
    <w:rPr>
      <w:rFonts w:ascii="Times New Roman" w:hAnsi="Times New Roman" w:cs="Times New Roman"/>
      <w:sz w:val="24"/>
    </w:rPr>
  </w:style>
  <w:style w:type="character" w:customStyle="1" w:styleId="53">
    <w:name w:val="正文2 Char"/>
    <w:qFormat/>
    <w:uiPriority w:val="0"/>
    <w:rPr>
      <w:rFonts w:ascii="Times New Roman" w:hAnsi="Times New Roman" w:cs="Times New Roman"/>
      <w:kern w:val="2"/>
      <w:sz w:val="24"/>
    </w:rPr>
  </w:style>
  <w:style w:type="character" w:customStyle="1" w:styleId="54">
    <w:name w:val="文档结构图 Char"/>
    <w:qFormat/>
    <w:uiPriority w:val="0"/>
    <w:rPr>
      <w:kern w:val="2"/>
      <w:sz w:val="24"/>
      <w:shd w:val="clear" w:fill="000080"/>
    </w:rPr>
  </w:style>
  <w:style w:type="character" w:customStyle="1" w:styleId="55">
    <w:name w:val="日期 Char2"/>
    <w:qFormat/>
    <w:uiPriority w:val="0"/>
    <w:rPr>
      <w:rFonts w:ascii="楷体_GB2312;楷体" w:hAnsi="楷体_GB2312;楷体" w:eastAsia="楷体_GB2312;楷体"/>
      <w:b/>
      <w:kern w:val="2"/>
      <w:sz w:val="28"/>
      <w:lang w:val="en-US" w:eastAsia="zh-CN"/>
    </w:rPr>
  </w:style>
  <w:style w:type="character" w:customStyle="1" w:styleId="56">
    <w:name w:val="px_10"/>
    <w:qFormat/>
    <w:uiPriority w:val="0"/>
    <w:rPr>
      <w:lang w:val="zh-TW" w:eastAsia="zh-TW"/>
    </w:rPr>
  </w:style>
  <w:style w:type="character" w:customStyle="1" w:styleId="57">
    <w:name w:val="font31"/>
    <w:basedOn w:val="20"/>
    <w:qFormat/>
    <w:uiPriority w:val="0"/>
    <w:rPr>
      <w:rFonts w:ascii="宋体" w:hAnsi="宋体" w:eastAsia="宋体" w:cs="宋体"/>
      <w:color w:val="000000"/>
      <w:sz w:val="20"/>
      <w:szCs w:val="20"/>
      <w:u w:val="none"/>
    </w:rPr>
  </w:style>
  <w:style w:type="paragraph" w:customStyle="1" w:styleId="58">
    <w:name w:val="Heading"/>
    <w:basedOn w:val="1"/>
    <w:next w:val="1"/>
    <w:qFormat/>
    <w:uiPriority w:val="0"/>
    <w:pPr>
      <w:spacing w:before="240" w:after="60"/>
      <w:jc w:val="center"/>
      <w:outlineLvl w:val="0"/>
    </w:pPr>
    <w:rPr>
      <w:rFonts w:ascii="Calibri Light" w:hAnsi="Calibri Light" w:cs="Calibri Light"/>
      <w:b/>
      <w:bCs/>
      <w:kern w:val="0"/>
      <w:sz w:val="32"/>
      <w:szCs w:val="32"/>
    </w:rPr>
  </w:style>
  <w:style w:type="paragraph" w:customStyle="1" w:styleId="59">
    <w:name w:val="Index"/>
    <w:basedOn w:val="1"/>
    <w:qFormat/>
    <w:uiPriority w:val="0"/>
    <w:pPr>
      <w:suppressLineNumbers/>
    </w:pPr>
    <w:rPr>
      <w:rFonts w:cs="Noto Sans Devanagari"/>
    </w:rPr>
  </w:style>
  <w:style w:type="paragraph" w:customStyle="1" w:styleId="60">
    <w:name w:val="列表编号 21"/>
    <w:basedOn w:val="1"/>
    <w:qFormat/>
    <w:uiPriority w:val="0"/>
    <w:pPr>
      <w:numPr>
        <w:ilvl w:val="0"/>
        <w:numId w:val="2"/>
      </w:numPr>
      <w:tabs>
        <w:tab w:val="left" w:pos="780"/>
      </w:tabs>
    </w:pPr>
  </w:style>
  <w:style w:type="paragraph" w:customStyle="1" w:styleId="61">
    <w:name w:val="列表编号1"/>
    <w:basedOn w:val="1"/>
    <w:qFormat/>
    <w:uiPriority w:val="0"/>
    <w:pPr>
      <w:numPr>
        <w:ilvl w:val="0"/>
        <w:numId w:val="3"/>
      </w:numPr>
      <w:tabs>
        <w:tab w:val="left" w:pos="360"/>
      </w:tabs>
    </w:pPr>
  </w:style>
  <w:style w:type="paragraph" w:customStyle="1" w:styleId="62">
    <w:name w:val="正文缩进1"/>
    <w:basedOn w:val="1"/>
    <w:qFormat/>
    <w:uiPriority w:val="0"/>
    <w:pPr>
      <w:widowControl/>
      <w:snapToGrid w:val="0"/>
      <w:spacing w:line="480" w:lineRule="exact"/>
      <w:ind w:firstLine="567"/>
    </w:pPr>
    <w:rPr>
      <w:rFonts w:ascii="宋体" w:hAnsi="宋体"/>
      <w:color w:val="000000"/>
      <w:kern w:val="2"/>
      <w:sz w:val="28"/>
      <w:szCs w:val="20"/>
    </w:rPr>
  </w:style>
  <w:style w:type="paragraph" w:customStyle="1" w:styleId="63">
    <w:name w:val="文档结构图1"/>
    <w:basedOn w:val="1"/>
    <w:qFormat/>
    <w:uiPriority w:val="0"/>
    <w:pPr>
      <w:shd w:val="clear" w:fill="000080"/>
    </w:pPr>
    <w:rPr>
      <w:rFonts w:ascii="宋体" w:hAnsi="宋体"/>
      <w:sz w:val="18"/>
      <w:szCs w:val="18"/>
    </w:rPr>
  </w:style>
  <w:style w:type="paragraph" w:customStyle="1" w:styleId="64">
    <w:name w:val="批注文字1"/>
    <w:basedOn w:val="1"/>
    <w:qFormat/>
    <w:uiPriority w:val="0"/>
    <w:pPr>
      <w:jc w:val="left"/>
    </w:pPr>
    <w:rPr>
      <w:kern w:val="0"/>
      <w:sz w:val="24"/>
      <w:lang w:val="zh-CN"/>
    </w:rPr>
  </w:style>
  <w:style w:type="paragraph" w:customStyle="1" w:styleId="65">
    <w:name w:val="列表编号 31"/>
    <w:basedOn w:val="1"/>
    <w:qFormat/>
    <w:uiPriority w:val="0"/>
    <w:pPr>
      <w:numPr>
        <w:ilvl w:val="0"/>
        <w:numId w:val="4"/>
      </w:numPr>
      <w:tabs>
        <w:tab w:val="left" w:pos="1200"/>
      </w:tabs>
    </w:pPr>
  </w:style>
  <w:style w:type="paragraph" w:customStyle="1" w:styleId="66">
    <w:name w:val="纯文本1"/>
    <w:basedOn w:val="1"/>
    <w:next w:val="1"/>
    <w:qFormat/>
    <w:uiPriority w:val="0"/>
    <w:rPr>
      <w:rFonts w:ascii="宋体" w:hAnsi="宋体" w:cs="Courier New"/>
      <w:kern w:val="0"/>
      <w:szCs w:val="20"/>
    </w:rPr>
  </w:style>
  <w:style w:type="paragraph" w:customStyle="1" w:styleId="67">
    <w:name w:val="日期1"/>
    <w:basedOn w:val="1"/>
    <w:next w:val="1"/>
    <w:qFormat/>
    <w:uiPriority w:val="0"/>
    <w:pPr>
      <w:ind w:left="100" w:firstLine="0"/>
    </w:pPr>
    <w:rPr>
      <w:rFonts w:ascii="宋体" w:hAnsi="宋体"/>
      <w:kern w:val="0"/>
      <w:szCs w:val="20"/>
      <w:lang w:val="zh-CN"/>
    </w:rPr>
  </w:style>
  <w:style w:type="paragraph" w:customStyle="1" w:styleId="68">
    <w:name w:val="正文文本缩进 211"/>
    <w:basedOn w:val="1"/>
    <w:qFormat/>
    <w:uiPriority w:val="0"/>
    <w:pPr>
      <w:spacing w:before="0" w:after="120" w:line="480" w:lineRule="auto"/>
      <w:ind w:left="420" w:firstLine="0"/>
    </w:pPr>
  </w:style>
  <w:style w:type="paragraph" w:customStyle="1" w:styleId="69">
    <w:name w:val="批注框文本1"/>
    <w:basedOn w:val="1"/>
    <w:qFormat/>
    <w:uiPriority w:val="0"/>
    <w:rPr>
      <w:sz w:val="18"/>
      <w:szCs w:val="18"/>
    </w:rPr>
  </w:style>
  <w:style w:type="paragraph" w:customStyle="1" w:styleId="70">
    <w:name w:val="Header and Footer"/>
    <w:basedOn w:val="1"/>
    <w:qFormat/>
    <w:uiPriority w:val="0"/>
    <w:pPr>
      <w:suppressLineNumbers/>
      <w:tabs>
        <w:tab w:val="center" w:pos="4819"/>
        <w:tab w:val="right" w:pos="9638"/>
      </w:tabs>
    </w:pPr>
  </w:style>
  <w:style w:type="paragraph" w:customStyle="1" w:styleId="71">
    <w:name w:val="正文文本 21"/>
    <w:basedOn w:val="1"/>
    <w:qFormat/>
    <w:uiPriority w:val="0"/>
    <w:pPr>
      <w:widowControl/>
      <w:spacing w:line="216" w:lineRule="auto"/>
      <w:jc w:val="center"/>
    </w:pPr>
    <w:rPr>
      <w:kern w:val="0"/>
      <w:sz w:val="24"/>
    </w:rPr>
  </w:style>
  <w:style w:type="paragraph" w:customStyle="1" w:styleId="72">
    <w:name w:val="批注主题1"/>
    <w:basedOn w:val="64"/>
    <w:next w:val="64"/>
    <w:qFormat/>
    <w:uiPriority w:val="0"/>
    <w:pPr>
      <w:widowControl/>
    </w:pPr>
    <w:rPr>
      <w:b/>
      <w:bCs/>
    </w:rPr>
  </w:style>
  <w:style w:type="paragraph" w:customStyle="1" w:styleId="73">
    <w:name w:val="AONormal"/>
    <w:qFormat/>
    <w:uiPriority w:val="0"/>
    <w:pPr>
      <w:widowControl/>
      <w:suppressAutoHyphens/>
      <w:autoSpaceDE w:val="0"/>
      <w:bidi w:val="0"/>
      <w:spacing w:line="400" w:lineRule="exact"/>
      <w:ind w:firstLine="440"/>
    </w:pPr>
    <w:rPr>
      <w:rFonts w:ascii="华文楷体;宋体" w:hAnsi="华文楷体;宋体" w:eastAsia="华文楷体;宋体" w:cs="华文楷体;宋体"/>
      <w:color w:val="auto"/>
      <w:sz w:val="22"/>
      <w:szCs w:val="21"/>
      <w:lang w:val="en-US" w:eastAsia="zh-CN" w:bidi="ar-SA"/>
    </w:rPr>
  </w:style>
  <w:style w:type="paragraph" w:customStyle="1" w:styleId="74">
    <w:name w:val="[Normal]"/>
    <w:qFormat/>
    <w:uiPriority w:val="0"/>
    <w:pPr>
      <w:widowControl w:val="0"/>
      <w:suppressAutoHyphens/>
      <w:autoSpaceDE w:val="0"/>
      <w:bidi w:val="0"/>
    </w:pPr>
    <w:rPr>
      <w:rFonts w:ascii="宋体" w:hAnsi="宋体" w:eastAsia="宋体" w:cs="宋体"/>
      <w:color w:val="auto"/>
      <w:sz w:val="24"/>
      <w:szCs w:val="24"/>
      <w:lang w:val="en-US" w:eastAsia="zh-CN" w:bidi="ar-SA"/>
    </w:rPr>
  </w:style>
  <w:style w:type="paragraph" w:customStyle="1" w:styleId="75">
    <w:name w:val="首行缩进"/>
    <w:basedOn w:val="1"/>
    <w:qFormat/>
    <w:uiPriority w:val="0"/>
    <w:pPr>
      <w:spacing w:line="360" w:lineRule="auto"/>
      <w:ind w:firstLine="480"/>
    </w:pPr>
    <w:rPr>
      <w:sz w:val="24"/>
      <w:szCs w:val="22"/>
      <w:lang w:val="zh-CN"/>
    </w:rPr>
  </w:style>
  <w:style w:type="paragraph" w:customStyle="1" w:styleId="76">
    <w:name w:val="aspnumfaautoadjustrightr"/>
    <w:qFormat/>
    <w:uiPriority w:val="0"/>
    <w:pPr>
      <w:widowControl w:val="0"/>
      <w:suppressAutoHyphens/>
      <w:autoSpaceDE w:val="0"/>
      <w:bidi w:val="0"/>
      <w:ind w:firstLine="720"/>
      <w:jc w:val="both"/>
    </w:pPr>
    <w:rPr>
      <w:rFonts w:ascii="Times New Roman" w:hAnsi="Times New Roman" w:eastAsia="宋体" w:cs="Times New Roman"/>
      <w:color w:val="auto"/>
      <w:sz w:val="20"/>
      <w:szCs w:val="20"/>
      <w:lang w:val="en-US" w:eastAsia="zh-CN" w:bidi="ar-SA"/>
    </w:rPr>
  </w:style>
  <w:style w:type="paragraph" w:customStyle="1" w:styleId="77">
    <w:name w:val="列出段落1"/>
    <w:basedOn w:val="1"/>
    <w:qFormat/>
    <w:uiPriority w:val="0"/>
    <w:pPr>
      <w:spacing w:line="360" w:lineRule="auto"/>
      <w:ind w:firstLine="200"/>
    </w:pPr>
    <w:rPr>
      <w:rFonts w:eastAsia="楷体_GB2312;楷体" w:cs="Lucida Sans;Lucida Sans Unicode"/>
      <w:sz w:val="24"/>
    </w:rPr>
  </w:style>
  <w:style w:type="paragraph" w:customStyle="1" w:styleId="78">
    <w:name w:val="标题2def"/>
    <w:basedOn w:val="58"/>
    <w:qFormat/>
    <w:uiPriority w:val="0"/>
    <w:pPr>
      <w:widowControl/>
      <w:overflowPunct w:val="0"/>
      <w:autoSpaceDE w:val="0"/>
      <w:snapToGrid w:val="0"/>
      <w:spacing w:before="160" w:after="200" w:line="360" w:lineRule="auto"/>
      <w:textAlignment w:val="baseline"/>
    </w:pPr>
    <w:rPr>
      <w:rFonts w:ascii="Times New Roman" w:hAnsi="Times New Roman" w:eastAsia="Times New Roman" w:cs="宋体"/>
      <w:bCs w:val="0"/>
      <w:szCs w:val="20"/>
      <w:lang w:val="en-GB"/>
    </w:rPr>
  </w:style>
  <w:style w:type="paragraph" w:customStyle="1" w:styleId="79">
    <w:name w:val="标题3def"/>
    <w:basedOn w:val="5"/>
    <w:next w:val="1"/>
    <w:qFormat/>
    <w:uiPriority w:val="0"/>
    <w:pPr>
      <w:snapToGrid w:val="0"/>
      <w:spacing w:before="80" w:after="160" w:line="400" w:lineRule="exact"/>
    </w:pPr>
    <w:rPr>
      <w:rFonts w:ascii="??_GB2312;Times New Roman" w:hAnsi="??_GB2312;Times New Roman" w:eastAsia="Times New Roman" w:cs="宋体"/>
      <w:bCs w:val="0"/>
      <w:sz w:val="24"/>
      <w:szCs w:val="20"/>
    </w:rPr>
  </w:style>
  <w:style w:type="paragraph" w:customStyle="1" w:styleId="80">
    <w:name w:val="af17cgridlangnp1033langf"/>
    <w:qFormat/>
    <w:uiPriority w:val="0"/>
    <w:pPr>
      <w:widowControl w:val="0"/>
      <w:suppressAutoHyphens/>
      <w:autoSpaceDE w:val="0"/>
      <w:bidi w:val="0"/>
      <w:spacing w:before="156" w:after="0" w:line="360" w:lineRule="atLeast"/>
      <w:ind w:left="567" w:firstLine="510"/>
      <w:jc w:val="both"/>
    </w:pPr>
    <w:rPr>
      <w:rFonts w:ascii="Times New Roman" w:hAnsi="Times New Roman" w:eastAsia="宋体" w:cs="Times New Roman"/>
      <w:color w:val="auto"/>
      <w:sz w:val="20"/>
      <w:szCs w:val="20"/>
      <w:lang w:val="en-US" w:eastAsia="zh-CN" w:bidi="ar-SA"/>
    </w:rPr>
  </w:style>
  <w:style w:type="paragraph" w:customStyle="1" w:styleId="81">
    <w:name w:val="Char Char2 Char Char"/>
    <w:basedOn w:val="1"/>
    <w:qFormat/>
    <w:uiPriority w:val="0"/>
    <w:pPr>
      <w:widowControl/>
      <w:spacing w:line="400" w:lineRule="exact"/>
      <w:jc w:val="center"/>
    </w:pPr>
    <w:rPr>
      <w:rFonts w:ascii="Verdana" w:hAnsi="Verdana" w:cs="Verdana"/>
      <w:kern w:val="0"/>
      <w:szCs w:val="20"/>
      <w:lang w:eastAsia="en-US"/>
    </w:rPr>
  </w:style>
  <w:style w:type="paragraph" w:customStyle="1" w:styleId="82">
    <w:name w:val="Char Char Char Char1"/>
    <w:basedOn w:val="1"/>
    <w:qFormat/>
    <w:uiPriority w:val="0"/>
    <w:rPr>
      <w:rFonts w:ascii="Tahoma" w:hAnsi="Tahoma" w:cs="Tahoma"/>
      <w:sz w:val="24"/>
      <w:szCs w:val="20"/>
    </w:rPr>
  </w:style>
  <w:style w:type="paragraph" w:customStyle="1" w:styleId="83">
    <w:name w:val="正文文本缩进 21"/>
    <w:basedOn w:val="1"/>
    <w:qFormat/>
    <w:uiPriority w:val="0"/>
    <w:pPr>
      <w:spacing w:line="520" w:lineRule="exact"/>
      <w:ind w:firstLine="848"/>
    </w:pPr>
    <w:rPr>
      <w:rFonts w:ascii="黑体" w:hAnsi="黑体" w:eastAsia="黑体" w:cs="黑体"/>
      <w:sz w:val="28"/>
      <w:szCs w:val="22"/>
    </w:rPr>
  </w:style>
  <w:style w:type="paragraph" w:customStyle="1" w:styleId="84">
    <w:name w:val="正文段"/>
    <w:basedOn w:val="1"/>
    <w:qFormat/>
    <w:uiPriority w:val="0"/>
    <w:pPr>
      <w:widowControl/>
      <w:snapToGrid w:val="0"/>
      <w:ind w:firstLine="200"/>
    </w:pPr>
    <w:rPr>
      <w:kern w:val="0"/>
      <w:sz w:val="24"/>
      <w:szCs w:val="20"/>
    </w:rPr>
  </w:style>
  <w:style w:type="paragraph" w:customStyle="1" w:styleId="85">
    <w:name w:val="正文2"/>
    <w:basedOn w:val="1"/>
    <w:qFormat/>
    <w:uiPriority w:val="0"/>
    <w:pPr>
      <w:spacing w:before="156" w:after="0" w:line="360" w:lineRule="auto"/>
      <w:ind w:firstLine="510"/>
    </w:pPr>
    <w:rPr>
      <w:sz w:val="24"/>
      <w:szCs w:val="20"/>
    </w:rPr>
  </w:style>
  <w:style w:type="paragraph" w:customStyle="1" w:styleId="86">
    <w:name w:val="表正文"/>
    <w:basedOn w:val="1"/>
    <w:next w:val="66"/>
    <w:qFormat/>
    <w:uiPriority w:val="0"/>
    <w:rPr>
      <w:rFonts w:ascii="宋体" w:hAnsi="宋体" w:cs="Courier New"/>
      <w:szCs w:val="20"/>
    </w:rPr>
  </w:style>
  <w:style w:type="paragraph" w:customStyle="1" w:styleId="87">
    <w:name w:val="列出段落"/>
    <w:basedOn w:val="1"/>
    <w:qFormat/>
    <w:uiPriority w:val="0"/>
    <w:pPr>
      <w:spacing w:before="0" w:after="0"/>
      <w:ind w:left="720" w:firstLine="0"/>
      <w:contextualSpacing/>
    </w:pPr>
  </w:style>
  <w:style w:type="paragraph" w:customStyle="1" w:styleId="88">
    <w:name w:val="正文 A"/>
    <w:qFormat/>
    <w:uiPriority w:val="0"/>
    <w:pPr>
      <w:widowControl w:val="0"/>
      <w:suppressAutoHyphens/>
      <w:bidi w:val="0"/>
      <w:spacing w:line="360" w:lineRule="atLeast"/>
    </w:pPr>
    <w:rPr>
      <w:rFonts w:ascii="Times New Roman" w:hAnsi="Times New Roman" w:eastAsia="宋体" w:cs="Times New Roman"/>
      <w:color w:val="000000"/>
      <w:sz w:val="24"/>
      <w:szCs w:val="24"/>
      <w:lang w:val="en-US" w:eastAsia="zh-CN" w:bidi="ar-SA"/>
    </w:rPr>
  </w:style>
  <w:style w:type="paragraph" w:customStyle="1" w:styleId="89">
    <w:name w:val="部分1"/>
    <w:basedOn w:val="1"/>
    <w:qFormat/>
    <w:uiPriority w:val="0"/>
    <w:pPr>
      <w:keepNext/>
      <w:pageBreakBefore/>
      <w:tabs>
        <w:tab w:val="left" w:pos="720"/>
      </w:tabs>
      <w:spacing w:line="360" w:lineRule="auto"/>
      <w:jc w:val="center"/>
      <w:outlineLvl w:val="0"/>
    </w:pPr>
    <w:rPr>
      <w:rFonts w:eastAsia="黑体"/>
      <w:b/>
      <w:kern w:val="2"/>
      <w:sz w:val="36"/>
      <w:szCs w:val="20"/>
    </w:rPr>
  </w:style>
  <w:style w:type="paragraph" w:customStyle="1" w:styleId="90">
    <w:name w:val="reader-word-layer reader-word-s1-8"/>
    <w:basedOn w:val="1"/>
    <w:qFormat/>
    <w:uiPriority w:val="0"/>
    <w:pPr>
      <w:widowControl/>
      <w:spacing w:before="100" w:after="100"/>
      <w:jc w:val="left"/>
    </w:pPr>
    <w:rPr>
      <w:rFonts w:ascii="宋体" w:hAnsi="宋体" w:cs="宋体"/>
      <w:kern w:val="0"/>
      <w:sz w:val="24"/>
    </w:rPr>
  </w:style>
  <w:style w:type="paragraph" w:customStyle="1" w:styleId="91">
    <w:name w:val="列出段落11"/>
    <w:basedOn w:val="1"/>
    <w:qFormat/>
    <w:uiPriority w:val="0"/>
    <w:pPr>
      <w:spacing w:line="360" w:lineRule="auto"/>
      <w:ind w:firstLine="200"/>
    </w:pPr>
    <w:rPr>
      <w:rFonts w:eastAsia="楷体_GB2312;楷体" w:cs="Lucida Sans;Lucida Sans Unicode"/>
      <w:sz w:val="24"/>
    </w:rPr>
  </w:style>
  <w:style w:type="paragraph" w:customStyle="1" w:styleId="92">
    <w:name w:val="样式5"/>
    <w:basedOn w:val="1"/>
    <w:qFormat/>
    <w:uiPriority w:val="0"/>
    <w:pPr>
      <w:spacing w:line="440" w:lineRule="exact"/>
      <w:ind w:left="2" w:firstLine="480"/>
    </w:pPr>
    <w:rPr>
      <w:rFonts w:ascii="仿宋_GB2312;仿宋" w:hAnsi="仿宋_GB2312;仿宋" w:eastAsia="仿宋_GB2312;仿宋" w:cs="仿宋"/>
      <w:sz w:val="24"/>
    </w:rPr>
  </w:style>
  <w:style w:type="paragraph" w:customStyle="1" w:styleId="93">
    <w:name w:val="样式4"/>
    <w:basedOn w:val="1"/>
    <w:qFormat/>
    <w:uiPriority w:val="0"/>
    <w:pPr>
      <w:spacing w:line="360" w:lineRule="auto"/>
      <w:ind w:firstLine="420"/>
      <w:jc w:val="center"/>
      <w:outlineLvl w:val="2"/>
    </w:pPr>
    <w:rPr>
      <w:rFonts w:ascii="仿宋_GB2312;仿宋" w:hAnsi="仿宋_GB2312;仿宋" w:eastAsia="仿宋_GB2312;仿宋" w:cs="仿宋"/>
      <w:b/>
      <w:sz w:val="32"/>
      <w:szCs w:val="32"/>
    </w:rPr>
  </w:style>
  <w:style w:type="paragraph" w:customStyle="1" w:styleId="94">
    <w:name w:val="Table Contents"/>
    <w:basedOn w:val="1"/>
    <w:qFormat/>
    <w:uiPriority w:val="0"/>
    <w:pPr>
      <w:widowControl w:val="0"/>
      <w:suppressLineNumbers/>
    </w:pPr>
  </w:style>
  <w:style w:type="paragraph" w:customStyle="1" w:styleId="95">
    <w:name w:val="Table Heading"/>
    <w:basedOn w:val="94"/>
    <w:qFormat/>
    <w:uiPriority w:val="0"/>
    <w:pPr>
      <w:suppressLineNumbers/>
      <w:jc w:val="center"/>
    </w:pPr>
    <w:rPr>
      <w:b/>
      <w:bCs/>
    </w:rPr>
  </w:style>
  <w:style w:type="paragraph" w:customStyle="1" w:styleId="96">
    <w:name w:val="Frame Contents"/>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16067</Words>
  <Characters>16957</Characters>
  <TotalTime>18</TotalTime>
  <ScaleCrop>false</ScaleCrop>
  <LinksUpToDate>false</LinksUpToDate>
  <CharactersWithSpaces>17084</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2022-04-06T10:00:00Z</dcterms:created>
  <dc:creator>Ting</dc:creator>
  <cp:lastModifiedBy>Administrator</cp:lastModifiedBy>
  <cp:lastPrinted>2024-06-27T15:44:00Z</cp:lastPrinted>
  <dcterms:modified xsi:type="dcterms:W3CDTF">2025-11-24T05:34:32Z</dcterms:modified>
  <dc:title>绍兴市公安局交通警察支队交警互联网支付及罚缴平台二期项目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F614CB0988DE4277A8F8E350FF2C50DF_13</vt:lpwstr>
  </property>
  <property fmtid="{D5CDD505-2E9C-101B-9397-08002B2CF9AE}" pid="3" name="KSOProductBuildVer">
    <vt:lpwstr>2052-12.1.0.23125</vt:lpwstr>
  </property>
  <property fmtid="{D5CDD505-2E9C-101B-9397-08002B2CF9AE}" pid="4" name="KSOTemplateDocerSaveRecord">
    <vt:lpwstr>eyJoZGlkIjoiNWJmOGVkZmIyYWQxMDAzZjMzZDc3MzU2OTIyYjc4MjEiLCJ1c2VySWQiOiI0Mjg2MTAwMDYifQ==</vt:lpwstr>
  </property>
  <property fmtid="{D5CDD505-2E9C-101B-9397-08002B2CF9AE}" pid="5" name="commondata">
    <vt:lpwstr>commondata</vt:lpwstr>
  </property>
</Properties>
</file>