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绍兴市第七人民医院2025年绍兴地铁1号线、出租车视频心理健康公益宣传服务项目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SXHY-2025CG-1105</w:t>
      </w:r>
    </w:p>
    <w:tbl>
      <w:tblPr>
        <w:tblStyle w:val="63"/>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十一</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8"/>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8"/>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绍兴市第七人民医院2025年绍兴地铁1号线、出租车视频心理健康公益宣传服务项目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12</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16</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SXHY-2025CG-1105</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绍兴市第七人民医院2025年绍兴地铁1号线、出租车视频心理健康公益宣传服务项目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16</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b/>
          <w:color w:val="000000" w:themeColor="text1"/>
          <w:sz w:val="24"/>
          <w:highlight w:val="none"/>
          <w:lang w:val="en-US"/>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85000.00,75000.00</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绍兴市第七人民医院2025年绍兴地铁1号线视频心理健康公益宣传服务项目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85000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绍兴地铁1号线视频心理健康公益宣传服务。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F69CC9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4E91C28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绍兴市第七人民医院2025年绍兴出租车视频心理健康公益宣传服务项目</w:t>
      </w:r>
    </w:p>
    <w:p w14:paraId="4AD448E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932628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75000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0A4308A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绍兴出租车视频心理健康公益宣传服务。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标项1，标项2</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bookmarkStart w:id="168" w:name="_GoBack"/>
      <w:bookmarkEnd w:id="168"/>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全部由符合政策要求的小微企业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02</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16</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16</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336121B3">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027404A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8D7073">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6FB179EA">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5A4283B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4"/>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35393637"/>
      <w:bookmarkStart w:id="7" w:name="_Toc28359096"/>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陈晓莹</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：0575-85397787</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4"/>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35393638"/>
      <w:bookmarkStart w:id="11" w:name="_Toc35393807"/>
      <w:bookmarkStart w:id="12" w:name="_Toc28359020"/>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35393808"/>
      <w:bookmarkStart w:id="15" w:name="_Toc2835909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default"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标项</w:t>
            </w:r>
            <w:r>
              <w:rPr>
                <w:rFonts w:hint="eastAsia" w:ascii="仿宋" w:hAnsi="仿宋" w:eastAsia="仿宋" w:cs="仿宋"/>
                <w:snapToGrid w:val="0"/>
                <w:color w:val="000000" w:themeColor="text1"/>
                <w:kern w:val="28"/>
                <w:sz w:val="24"/>
                <w:highlight w:val="none"/>
                <w14:textFill>
                  <w14:solidFill>
                    <w14:schemeClr w14:val="tx1"/>
                  </w14:solidFill>
                </w14:textFill>
              </w:rPr>
              <w:t>的</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预算</w:t>
            </w:r>
            <w:r>
              <w:rPr>
                <w:rFonts w:hint="eastAsia" w:ascii="仿宋" w:hAnsi="仿宋" w:eastAsia="仿宋" w:cs="仿宋"/>
                <w:snapToGrid w:val="0"/>
                <w:color w:val="000000" w:themeColor="text1"/>
                <w:kern w:val="28"/>
                <w:sz w:val="24"/>
                <w:highlight w:val="none"/>
                <w14:textFill>
                  <w14:solidFill>
                    <w14:schemeClr w14:val="tx1"/>
                  </w14:solidFill>
                </w14:textFill>
              </w:rPr>
              <w:t>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5"/>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4"/>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3"/>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80"/>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4"/>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14665"/>
      <w:bookmarkEnd w:id="21"/>
      <w:bookmarkStart w:id="22" w:name="_Hlt68072990"/>
      <w:bookmarkEnd w:id="22"/>
      <w:bookmarkStart w:id="23" w:name="_Hlt68403820"/>
      <w:bookmarkEnd w:id="23"/>
      <w:bookmarkStart w:id="24" w:name="_Hlt75236290"/>
      <w:bookmarkEnd w:id="24"/>
      <w:bookmarkStart w:id="25" w:name="_Hlt75236011"/>
      <w:bookmarkEnd w:id="25"/>
      <w:bookmarkStart w:id="26" w:name="_Hlt74730295"/>
      <w:bookmarkEnd w:id="26"/>
      <w:bookmarkStart w:id="27" w:name="_Hlt75236101"/>
      <w:bookmarkEnd w:id="27"/>
      <w:bookmarkStart w:id="28" w:name="_Hlt68072998"/>
      <w:bookmarkEnd w:id="28"/>
      <w:bookmarkStart w:id="29" w:name="_Hlt74729768"/>
      <w:bookmarkEnd w:id="29"/>
      <w:bookmarkStart w:id="30" w:name="_Hlt74707468"/>
      <w:bookmarkEnd w:id="30"/>
      <w:bookmarkStart w:id="31" w:name="_Hlt68057669"/>
      <w:bookmarkEnd w:id="31"/>
      <w:bookmarkStart w:id="32" w:name="_Hlt68073093"/>
      <w:bookmarkEnd w:id="32"/>
      <w:bookmarkStart w:id="33" w:name="_Toc81372953"/>
      <w:bookmarkStart w:id="34" w:name="_Toc84325929"/>
      <w:bookmarkStart w:id="35"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5"/>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绍兴市第七人民医院2025年绍兴地铁1号线</w:t>
      </w:r>
      <w:r>
        <w:rPr>
          <w:rFonts w:hint="eastAsia" w:ascii="仿宋" w:hAnsi="仿宋" w:eastAsia="仿宋" w:cs="Arial"/>
          <w:b/>
          <w:bCs/>
          <w:color w:val="000000" w:themeColor="text1"/>
          <w:sz w:val="24"/>
          <w:highlight w:val="none"/>
          <w:lang w:val="en-US" w:eastAsia="zh-CN"/>
          <w14:textFill>
            <w14:solidFill>
              <w14:schemeClr w14:val="tx1"/>
            </w14:solidFill>
          </w14:textFill>
        </w:rPr>
        <w:t>视频</w:t>
      </w:r>
      <w:r>
        <w:rPr>
          <w:rFonts w:hint="eastAsia" w:ascii="仿宋" w:hAnsi="仿宋" w:eastAsia="仿宋" w:cs="Arial"/>
          <w:b/>
          <w:bCs/>
          <w:color w:val="000000" w:themeColor="text1"/>
          <w:sz w:val="24"/>
          <w:highlight w:val="none"/>
          <w:lang w:eastAsia="zh-CN"/>
          <w14:textFill>
            <w14:solidFill>
              <w14:schemeClr w14:val="tx1"/>
            </w14:solidFill>
          </w14:textFill>
        </w:rPr>
        <w:t>心理健康公益宣传服务项目</w:t>
      </w:r>
    </w:p>
    <w:p w14:paraId="6DAAE2C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85</w:t>
      </w:r>
      <w:r>
        <w:rPr>
          <w:rFonts w:hint="eastAsia" w:ascii="仿宋" w:hAnsi="仿宋" w:eastAsia="仿宋" w:cs="Arial"/>
          <w:b/>
          <w:bCs/>
          <w:color w:val="000000" w:themeColor="text1"/>
          <w:sz w:val="24"/>
          <w:highlight w:val="none"/>
          <w14:textFill>
            <w14:solidFill>
              <w14:schemeClr w14:val="tx1"/>
            </w14:solidFill>
          </w14:textFill>
        </w:rPr>
        <w:t>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46FD4770">
      <w:pPr>
        <w:spacing w:line="400" w:lineRule="exact"/>
        <w:ind w:firstLine="482" w:firstLineChars="200"/>
        <w:rPr>
          <w:rFonts w:hint="default"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（一）项目内容</w:t>
      </w:r>
    </w:p>
    <w:p w14:paraId="2097DB9B">
      <w:pPr>
        <w:spacing w:line="40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在绍兴城市轨道交通1号线</w:t>
      </w:r>
      <w:r>
        <w:rPr>
          <w:rFonts w:hint="eastAsia" w:ascii="Times New Roman" w:hAnsi="Times New Roman" w:eastAsia="仿宋_GB2312" w:cs="Times New Roman"/>
          <w:sz w:val="24"/>
          <w:lang w:val="en-US" w:eastAsia="zh-CN"/>
        </w:rPr>
        <w:t>（芳泉—姑娘桥）</w:t>
      </w:r>
      <w:r>
        <w:rPr>
          <w:rFonts w:hint="default" w:ascii="Times New Roman" w:hAnsi="Times New Roman" w:eastAsia="仿宋_GB2312" w:cs="Times New Roman"/>
          <w:sz w:val="24"/>
          <w:lang w:val="en-US" w:eastAsia="zh-CN"/>
        </w:rPr>
        <w:t>地铁列车PIS电视</w:t>
      </w:r>
      <w:r>
        <w:rPr>
          <w:rFonts w:hint="default" w:ascii="Times New Roman" w:hAnsi="Times New Roman" w:eastAsia="仿宋_GB2312" w:cs="Times New Roman"/>
          <w:sz w:val="24"/>
        </w:rPr>
        <w:t>，</w:t>
      </w:r>
      <w:r>
        <w:rPr>
          <w:rFonts w:hint="default" w:ascii="Times New Roman" w:hAnsi="Times New Roman" w:eastAsia="仿宋_GB2312" w:cs="Times New Roman"/>
          <w:sz w:val="24"/>
          <w:lang w:val="en-US" w:eastAsia="zh-CN"/>
        </w:rPr>
        <w:t>进行</w:t>
      </w:r>
      <w:r>
        <w:rPr>
          <w:rFonts w:hint="default" w:ascii="Times New Roman" w:hAnsi="Times New Roman" w:eastAsia="仿宋_GB2312" w:cs="Times New Roman"/>
          <w:sz w:val="24"/>
        </w:rPr>
        <w:t>为期一年的</w:t>
      </w:r>
      <w:r>
        <w:rPr>
          <w:rFonts w:hint="default" w:ascii="Times New Roman" w:hAnsi="Times New Roman" w:eastAsia="仿宋_GB2312" w:cs="Times New Roman"/>
          <w:sz w:val="24"/>
          <w:lang w:eastAsia="zh-CN"/>
        </w:rPr>
        <w:t>心理健康和精神卫生</w:t>
      </w:r>
      <w:r>
        <w:rPr>
          <w:rFonts w:hint="default" w:ascii="Times New Roman" w:hAnsi="Times New Roman" w:eastAsia="仿宋_GB2312" w:cs="Times New Roman"/>
          <w:sz w:val="24"/>
          <w:lang w:val="en-US" w:eastAsia="zh-CN"/>
        </w:rPr>
        <w:t>视频</w:t>
      </w:r>
      <w:r>
        <w:rPr>
          <w:rFonts w:hint="default" w:ascii="Times New Roman" w:hAnsi="Times New Roman" w:eastAsia="仿宋_GB2312" w:cs="Times New Roman"/>
          <w:sz w:val="24"/>
        </w:rPr>
        <w:t>宣传</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宣传视频由供应商根据</w:t>
      </w:r>
      <w:r>
        <w:rPr>
          <w:rFonts w:hint="default" w:ascii="Times New Roman" w:hAnsi="Times New Roman" w:eastAsia="仿宋_GB2312" w:cs="Times New Roman"/>
          <w:sz w:val="24"/>
          <w:lang w:eastAsia="zh-CN"/>
        </w:rPr>
        <w:t>采购人</w:t>
      </w:r>
      <w:r>
        <w:rPr>
          <w:rFonts w:hint="default" w:ascii="Times New Roman" w:hAnsi="Times New Roman" w:eastAsia="仿宋_GB2312" w:cs="Times New Roman"/>
          <w:sz w:val="24"/>
        </w:rPr>
        <w:t>要求进行制作。</w:t>
      </w:r>
    </w:p>
    <w:p w14:paraId="472DD1B4">
      <w:pPr>
        <w:spacing w:line="400" w:lineRule="exact"/>
        <w:ind w:firstLine="482" w:firstLineChars="200"/>
        <w:rPr>
          <w:rFonts w:hint="default"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（二）项目要求</w:t>
      </w:r>
    </w:p>
    <w:tbl>
      <w:tblPr>
        <w:tblStyle w:val="63"/>
        <w:tblW w:w="8642" w:type="dxa"/>
        <w:jc w:val="center"/>
        <w:tblLayout w:type="autofit"/>
        <w:tblCellMar>
          <w:top w:w="0" w:type="dxa"/>
          <w:left w:w="108" w:type="dxa"/>
          <w:bottom w:w="0" w:type="dxa"/>
          <w:right w:w="108" w:type="dxa"/>
        </w:tblCellMar>
      </w:tblPr>
      <w:tblGrid>
        <w:gridCol w:w="1089"/>
        <w:gridCol w:w="7553"/>
      </w:tblGrid>
      <w:tr w14:paraId="5C377EA1">
        <w:tblPrEx>
          <w:tblCellMar>
            <w:top w:w="0" w:type="dxa"/>
            <w:left w:w="108" w:type="dxa"/>
            <w:bottom w:w="0" w:type="dxa"/>
            <w:right w:w="108" w:type="dxa"/>
          </w:tblCellMar>
        </w:tblPrEx>
        <w:trPr>
          <w:trHeight w:val="499"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342BD657">
            <w:pPr>
              <w:widowControl/>
              <w:jc w:val="center"/>
              <w:rPr>
                <w:rFonts w:hint="default" w:ascii="Times New Roman" w:hAnsi="Times New Roman" w:eastAsia="仿宋_GB2312" w:cs="Times New Roman"/>
                <w:b/>
                <w:bCs/>
                <w:kern w:val="2"/>
                <w:sz w:val="24"/>
                <w:szCs w:val="22"/>
                <w:lang w:val="en-US" w:eastAsia="zh-CN" w:bidi="ar-SA"/>
              </w:rPr>
            </w:pPr>
            <w:r>
              <w:rPr>
                <w:rFonts w:hint="default" w:ascii="Times New Roman" w:hAnsi="Times New Roman" w:eastAsia="仿宋_GB2312" w:cs="Times New Roman"/>
                <w:b/>
                <w:bCs/>
                <w:sz w:val="24"/>
              </w:rPr>
              <w:t>序号</w:t>
            </w:r>
          </w:p>
        </w:tc>
        <w:tc>
          <w:tcPr>
            <w:tcW w:w="7553" w:type="dxa"/>
            <w:tcBorders>
              <w:top w:val="single" w:color="auto" w:sz="4" w:space="0"/>
              <w:left w:val="nil"/>
              <w:bottom w:val="single" w:color="auto" w:sz="4" w:space="0"/>
              <w:right w:val="single" w:color="auto" w:sz="4" w:space="0"/>
            </w:tcBorders>
            <w:noWrap/>
            <w:vAlign w:val="center"/>
          </w:tcPr>
          <w:p w14:paraId="3A549AFC">
            <w:pPr>
              <w:widowControl/>
              <w:jc w:val="center"/>
              <w:rPr>
                <w:rFonts w:hint="default" w:ascii="Times New Roman" w:hAnsi="Times New Roman" w:eastAsia="仿宋_GB2312" w:cs="Times New Roman"/>
                <w:b/>
                <w:bCs/>
                <w:kern w:val="2"/>
                <w:sz w:val="24"/>
                <w:szCs w:val="22"/>
                <w:lang w:val="en-US" w:eastAsia="zh-CN" w:bidi="ar-SA"/>
              </w:rPr>
            </w:pPr>
            <w:r>
              <w:rPr>
                <w:rFonts w:hint="eastAsia" w:ascii="Times New Roman" w:hAnsi="Times New Roman" w:eastAsia="仿宋_GB2312" w:cs="Times New Roman"/>
                <w:b/>
                <w:bCs/>
                <w:sz w:val="24"/>
                <w:lang w:val="en-US" w:eastAsia="zh-CN"/>
              </w:rPr>
              <w:t>项目</w:t>
            </w:r>
            <w:r>
              <w:rPr>
                <w:rFonts w:hint="default" w:ascii="Times New Roman" w:hAnsi="Times New Roman" w:eastAsia="仿宋_GB2312" w:cs="Times New Roman"/>
                <w:b/>
                <w:bCs/>
                <w:sz w:val="24"/>
              </w:rPr>
              <w:t>要求</w:t>
            </w:r>
          </w:p>
        </w:tc>
      </w:tr>
      <w:tr w14:paraId="7F01E3DB">
        <w:tblPrEx>
          <w:tblCellMar>
            <w:top w:w="0" w:type="dxa"/>
            <w:left w:w="108" w:type="dxa"/>
            <w:bottom w:w="0" w:type="dxa"/>
            <w:right w:w="108" w:type="dxa"/>
          </w:tblCellMar>
        </w:tblPrEx>
        <w:trPr>
          <w:trHeight w:val="499"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13593A77">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1</w:t>
            </w:r>
          </w:p>
        </w:tc>
        <w:tc>
          <w:tcPr>
            <w:tcW w:w="7553" w:type="dxa"/>
            <w:tcBorders>
              <w:top w:val="single" w:color="auto" w:sz="4" w:space="0"/>
              <w:left w:val="nil"/>
              <w:bottom w:val="single" w:color="auto" w:sz="4" w:space="0"/>
              <w:right w:val="single" w:color="auto" w:sz="4" w:space="0"/>
            </w:tcBorders>
            <w:noWrap/>
            <w:vAlign w:val="center"/>
          </w:tcPr>
          <w:p w14:paraId="2572C0A0">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项目概述：</w:t>
            </w:r>
            <w:r>
              <w:rPr>
                <w:rFonts w:hint="default" w:ascii="仿宋_GB2312" w:hAnsi="宋体" w:eastAsia="仿宋_GB2312" w:cs="Arial"/>
                <w:b w:val="0"/>
                <w:bCs w:val="0"/>
                <w:kern w:val="2"/>
                <w:sz w:val="24"/>
                <w:szCs w:val="22"/>
                <w:lang w:val="en-US" w:eastAsia="zh-CN" w:bidi="ar-SA"/>
              </w:rPr>
              <w:t>绍兴地铁1号线心理健康公益宣传服务</w:t>
            </w:r>
          </w:p>
        </w:tc>
      </w:tr>
      <w:tr w14:paraId="04F21C3C">
        <w:tblPrEx>
          <w:tblCellMar>
            <w:top w:w="0" w:type="dxa"/>
            <w:left w:w="108" w:type="dxa"/>
            <w:bottom w:w="0" w:type="dxa"/>
            <w:right w:w="108" w:type="dxa"/>
          </w:tblCellMar>
        </w:tblPrEx>
        <w:trPr>
          <w:trHeight w:val="499"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4D845C04">
            <w:pPr>
              <w:widowControl/>
              <w:jc w:val="center"/>
              <w:rPr>
                <w:rFonts w:hint="eastAsia"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p>
        </w:tc>
        <w:tc>
          <w:tcPr>
            <w:tcW w:w="7553" w:type="dxa"/>
            <w:tcBorders>
              <w:top w:val="single" w:color="auto" w:sz="4" w:space="0"/>
              <w:left w:val="nil"/>
              <w:bottom w:val="single" w:color="auto" w:sz="4" w:space="0"/>
              <w:right w:val="single" w:color="auto" w:sz="4" w:space="0"/>
            </w:tcBorders>
            <w:noWrap/>
            <w:vAlign w:val="center"/>
          </w:tcPr>
          <w:p w14:paraId="1E50B57E">
            <w:pPr>
              <w:widowControl/>
              <w:jc w:val="left"/>
              <w:rPr>
                <w:rFonts w:hint="eastAsia"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项目要求：</w:t>
            </w:r>
          </w:p>
        </w:tc>
      </w:tr>
      <w:tr w14:paraId="6D72051B">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0117FD06">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.1</w:t>
            </w:r>
          </w:p>
        </w:tc>
        <w:tc>
          <w:tcPr>
            <w:tcW w:w="7553" w:type="dxa"/>
            <w:tcBorders>
              <w:top w:val="nil"/>
              <w:left w:val="nil"/>
              <w:bottom w:val="single" w:color="auto" w:sz="4" w:space="0"/>
              <w:right w:val="single" w:color="auto" w:sz="4" w:space="0"/>
            </w:tcBorders>
            <w:noWrap/>
            <w:vAlign w:val="center"/>
          </w:tcPr>
          <w:p w14:paraId="54799AD5">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由供应商制作宣传视频并在规定地铁列车PIS电视上播放；</w:t>
            </w:r>
          </w:p>
        </w:tc>
      </w:tr>
      <w:tr w14:paraId="2D0BB68A">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0F442754">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.2</w:t>
            </w:r>
          </w:p>
        </w:tc>
        <w:tc>
          <w:tcPr>
            <w:tcW w:w="7553" w:type="dxa"/>
            <w:tcBorders>
              <w:top w:val="nil"/>
              <w:left w:val="nil"/>
              <w:bottom w:val="single" w:color="auto" w:sz="4" w:space="0"/>
              <w:right w:val="single" w:color="auto" w:sz="4" w:space="0"/>
            </w:tcBorders>
            <w:noWrap/>
            <w:vAlign w:val="center"/>
          </w:tcPr>
          <w:p w14:paraId="27C8145D">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视频时长30秒；</w:t>
            </w:r>
          </w:p>
        </w:tc>
      </w:tr>
      <w:tr w14:paraId="7C6B8CDC">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3EAB9358">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.3</w:t>
            </w:r>
          </w:p>
        </w:tc>
        <w:tc>
          <w:tcPr>
            <w:tcW w:w="7553" w:type="dxa"/>
            <w:tcBorders>
              <w:top w:val="nil"/>
              <w:left w:val="nil"/>
              <w:bottom w:val="single" w:color="auto" w:sz="4" w:space="0"/>
              <w:right w:val="single" w:color="auto" w:sz="4" w:space="0"/>
            </w:tcBorders>
            <w:noWrap/>
            <w:vAlign w:val="center"/>
          </w:tcPr>
          <w:p w14:paraId="4CBE7555">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宣传视频发布数量为绍兴城市轨道交通1号线地铁27列列车1242屏；</w:t>
            </w:r>
          </w:p>
        </w:tc>
      </w:tr>
      <w:tr w14:paraId="6A5837FA">
        <w:tblPrEx>
          <w:tblCellMar>
            <w:top w:w="0" w:type="dxa"/>
            <w:left w:w="108" w:type="dxa"/>
            <w:bottom w:w="0" w:type="dxa"/>
            <w:right w:w="108" w:type="dxa"/>
          </w:tblCellMar>
        </w:tblPrEx>
        <w:trPr>
          <w:trHeight w:val="402" w:hRule="atLeast"/>
          <w:jc w:val="center"/>
        </w:trPr>
        <w:tc>
          <w:tcPr>
            <w:tcW w:w="1089" w:type="dxa"/>
            <w:tcBorders>
              <w:top w:val="nil"/>
              <w:left w:val="single" w:color="auto" w:sz="4" w:space="0"/>
              <w:bottom w:val="single" w:color="auto" w:sz="4" w:space="0"/>
              <w:right w:val="single" w:color="auto" w:sz="4" w:space="0"/>
            </w:tcBorders>
            <w:noWrap/>
            <w:vAlign w:val="center"/>
          </w:tcPr>
          <w:p w14:paraId="54602751">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.4</w:t>
            </w:r>
          </w:p>
        </w:tc>
        <w:tc>
          <w:tcPr>
            <w:tcW w:w="7553" w:type="dxa"/>
            <w:tcBorders>
              <w:top w:val="nil"/>
              <w:left w:val="nil"/>
              <w:bottom w:val="single" w:color="auto" w:sz="4" w:space="0"/>
              <w:right w:val="single" w:color="auto" w:sz="4" w:space="0"/>
            </w:tcBorders>
            <w:noWrap/>
            <w:vAlign w:val="center"/>
          </w:tcPr>
          <w:p w14:paraId="189AC1B8">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视频播出频次不少于30次/天.车；</w:t>
            </w:r>
          </w:p>
        </w:tc>
      </w:tr>
      <w:tr w14:paraId="09E26337">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70FFC361">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r>
              <w:rPr>
                <w:rFonts w:hint="default" w:ascii="仿宋_GB2312" w:hAnsi="宋体" w:eastAsia="仿宋_GB2312" w:cs="Arial"/>
                <w:b w:val="0"/>
                <w:bCs w:val="0"/>
                <w:kern w:val="2"/>
                <w:sz w:val="24"/>
                <w:szCs w:val="22"/>
                <w:lang w:val="en-US" w:eastAsia="zh-CN" w:bidi="ar-SA"/>
              </w:rPr>
              <w:t>.5</w:t>
            </w:r>
          </w:p>
        </w:tc>
        <w:tc>
          <w:tcPr>
            <w:tcW w:w="7553" w:type="dxa"/>
            <w:tcBorders>
              <w:top w:val="single" w:color="auto" w:sz="4" w:space="0"/>
              <w:left w:val="single" w:color="auto" w:sz="4" w:space="0"/>
              <w:bottom w:val="single" w:color="auto" w:sz="4" w:space="0"/>
              <w:right w:val="single" w:color="auto" w:sz="4" w:space="0"/>
            </w:tcBorders>
            <w:noWrap/>
            <w:vAlign w:val="center"/>
          </w:tcPr>
          <w:p w14:paraId="6A8188D2">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可免费更换2次视频。</w:t>
            </w:r>
          </w:p>
        </w:tc>
      </w:tr>
      <w:tr w14:paraId="246F7414">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4B07B2B4">
            <w:pPr>
              <w:widowControl/>
              <w:jc w:val="center"/>
              <w:rPr>
                <w:rFonts w:hint="default" w:ascii="仿宋_GB2312" w:hAnsi="宋体" w:eastAsia="仿宋_GB2312" w:cs="Arial"/>
                <w:b w:val="0"/>
                <w:bCs w:val="0"/>
                <w:kern w:val="2"/>
                <w:sz w:val="24"/>
                <w:szCs w:val="22"/>
                <w:lang w:val="en-US" w:eastAsia="zh-CN" w:bidi="ar-SA"/>
              </w:rPr>
            </w:pPr>
            <w:r>
              <w:rPr>
                <w:rFonts w:hint="eastAsia" w:ascii="仿宋" w:hAnsi="仿宋" w:eastAsia="仿宋" w:cs="仿宋"/>
                <w:sz w:val="24"/>
                <w:highlight w:val="none"/>
              </w:rPr>
              <w:t>★</w:t>
            </w:r>
            <w:r>
              <w:rPr>
                <w:rFonts w:hint="eastAsia" w:ascii="仿宋_GB2312" w:hAnsi="宋体" w:eastAsia="仿宋_GB2312" w:cs="Arial"/>
                <w:b w:val="0"/>
                <w:bCs w:val="0"/>
                <w:kern w:val="2"/>
                <w:sz w:val="24"/>
                <w:szCs w:val="22"/>
                <w:lang w:val="en-US" w:eastAsia="zh-CN" w:bidi="ar-SA"/>
              </w:rPr>
              <w:t>3</w:t>
            </w:r>
          </w:p>
        </w:tc>
        <w:tc>
          <w:tcPr>
            <w:tcW w:w="7553" w:type="dxa"/>
            <w:tcBorders>
              <w:top w:val="single" w:color="auto" w:sz="4" w:space="0"/>
              <w:left w:val="single" w:color="auto" w:sz="4" w:space="0"/>
              <w:bottom w:val="single" w:color="auto" w:sz="4" w:space="0"/>
              <w:right w:val="single" w:color="auto" w:sz="4" w:space="0"/>
            </w:tcBorders>
            <w:noWrap/>
            <w:vAlign w:val="center"/>
          </w:tcPr>
          <w:p w14:paraId="677C75D4">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供应商须具有</w:t>
            </w:r>
            <w:r>
              <w:rPr>
                <w:rFonts w:hint="default" w:ascii="仿宋_GB2312" w:hAnsi="宋体" w:eastAsia="仿宋_GB2312" w:cs="Arial"/>
                <w:b w:val="0"/>
                <w:bCs w:val="0"/>
                <w:kern w:val="2"/>
                <w:sz w:val="24"/>
                <w:szCs w:val="22"/>
                <w:lang w:val="en-US" w:eastAsia="zh-CN" w:bidi="ar-SA"/>
              </w:rPr>
              <w:t>绍兴地铁1号线</w:t>
            </w:r>
            <w:r>
              <w:rPr>
                <w:rFonts w:hint="eastAsia" w:ascii="仿宋_GB2312" w:hAnsi="宋体" w:eastAsia="仿宋_GB2312" w:cs="Arial"/>
                <w:b w:val="0"/>
                <w:bCs w:val="0"/>
                <w:kern w:val="2"/>
                <w:sz w:val="24"/>
                <w:szCs w:val="22"/>
                <w:lang w:val="en-US" w:eastAsia="zh-CN" w:bidi="ar-SA"/>
              </w:rPr>
              <w:t>的广告资源经营权或承诺中标后7个工作日内取得</w:t>
            </w:r>
            <w:r>
              <w:rPr>
                <w:rFonts w:hint="default" w:ascii="仿宋_GB2312" w:hAnsi="宋体" w:eastAsia="仿宋_GB2312" w:cs="Arial"/>
                <w:b w:val="0"/>
                <w:bCs w:val="0"/>
                <w:kern w:val="2"/>
                <w:sz w:val="24"/>
                <w:szCs w:val="22"/>
                <w:lang w:val="en-US" w:eastAsia="zh-CN" w:bidi="ar-SA"/>
              </w:rPr>
              <w:t>绍兴地铁1号线</w:t>
            </w:r>
            <w:r>
              <w:rPr>
                <w:rFonts w:hint="eastAsia" w:ascii="仿宋_GB2312" w:hAnsi="宋体" w:eastAsia="仿宋_GB2312" w:cs="Arial"/>
                <w:b w:val="0"/>
                <w:bCs w:val="0"/>
                <w:kern w:val="2"/>
                <w:sz w:val="24"/>
                <w:szCs w:val="22"/>
                <w:lang w:val="en-US" w:eastAsia="zh-CN" w:bidi="ar-SA"/>
              </w:rPr>
              <w:t>的广告资源经营权，商务技术文件中提供广告资源经营权证明材料且在有效期内或提供承诺函，格式自拟，并加盖供应商公章。</w:t>
            </w:r>
          </w:p>
        </w:tc>
      </w:tr>
    </w:tbl>
    <w:p w14:paraId="01ED842A">
      <w:pPr>
        <w:spacing w:line="400" w:lineRule="exact"/>
        <w:ind w:firstLine="482" w:firstLineChars="200"/>
        <w:rPr>
          <w:rFonts w:hint="default"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（三）服务</w:t>
      </w:r>
      <w:r>
        <w:rPr>
          <w:rFonts w:hint="default" w:ascii="Times New Roman" w:hAnsi="Times New Roman" w:eastAsia="仿宋_GB2312" w:cs="Times New Roman"/>
          <w:b/>
          <w:bCs/>
          <w:sz w:val="24"/>
          <w:lang w:val="en-US" w:eastAsia="zh-CN"/>
        </w:rPr>
        <w:t>期限</w:t>
      </w:r>
    </w:p>
    <w:p w14:paraId="73C892D6">
      <w:pPr>
        <w:spacing w:line="400" w:lineRule="exact"/>
        <w:ind w:firstLine="480" w:firstLineChars="200"/>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自视频上刊之日起</w:t>
      </w:r>
      <w:r>
        <w:rPr>
          <w:rFonts w:hint="default" w:ascii="Times New Roman" w:hAnsi="Times New Roman" w:eastAsia="仿宋_GB2312" w:cs="Times New Roman"/>
          <w:sz w:val="24"/>
        </w:rPr>
        <w:t>一年</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lang w:val="en-US" w:eastAsia="zh-CN"/>
        </w:rPr>
        <w:t>12个月</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lang w:val="en-US" w:eastAsia="zh-CN"/>
        </w:rPr>
        <w:t>。</w:t>
      </w:r>
    </w:p>
    <w:p w14:paraId="6675E6A2">
      <w:pPr>
        <w:spacing w:line="400" w:lineRule="exact"/>
        <w:ind w:firstLine="482" w:firstLineChars="200"/>
        <w:rPr>
          <w:rFonts w:hint="eastAsia"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（四）付款方式</w:t>
      </w:r>
    </w:p>
    <w:p w14:paraId="211C4E9D">
      <w:pPr>
        <w:spacing w:line="440" w:lineRule="exact"/>
        <w:ind w:firstLine="480" w:firstLineChars="200"/>
        <w:rPr>
          <w:rFonts w:hint="eastAsia" w:ascii="仿宋" w:hAnsi="仿宋" w:eastAsia="仿宋"/>
          <w:sz w:val="24"/>
          <w:highlight w:val="none"/>
        </w:rPr>
      </w:pPr>
      <w:r>
        <w:rPr>
          <w:rFonts w:hint="eastAsia" w:ascii="Times New Roman" w:hAnsi="Times New Roman" w:eastAsia="仿宋_GB2312" w:cs="Times New Roman"/>
          <w:sz w:val="24"/>
          <w:lang w:val="en-US" w:eastAsia="zh-CN"/>
        </w:rPr>
        <w:t>本标项上限单价为：0.287元/天/车/次，按实结算。根据《浙江省财政厅关于进一步发挥政府采购政策功能全力推动经济稳进提质的通知》（浙财采监〔2022〕3号）等文件要求执行，具体付款方式由双方协商后在合同中明确。</w:t>
      </w:r>
    </w:p>
    <w:p w14:paraId="6A35F512">
      <w:pPr>
        <w:adjustRightInd w:val="0"/>
        <w:spacing w:line="336" w:lineRule="auto"/>
        <w:jc w:val="both"/>
        <w:rPr>
          <w:rFonts w:hint="eastAsia" w:ascii="仿宋" w:hAnsi="仿宋" w:eastAsia="仿宋" w:cs="Arial"/>
          <w:b/>
          <w:bCs/>
          <w:color w:val="000000" w:themeColor="text1"/>
          <w:sz w:val="24"/>
          <w:highlight w:val="none"/>
          <w:bdr w:val="single" w:color="auto" w:sz="4" w:space="0"/>
          <w14:textFill>
            <w14:solidFill>
              <w14:schemeClr w14:val="tx1"/>
            </w14:solidFill>
          </w14:textFill>
        </w:rPr>
      </w:pPr>
    </w:p>
    <w:p w14:paraId="48D90145">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w:t>
      </w:r>
      <w:r>
        <w:rPr>
          <w:rFonts w:hint="eastAsia" w:ascii="仿宋" w:hAnsi="仿宋" w:eastAsia="仿宋" w:cs="Arial"/>
          <w:b/>
          <w:bCs/>
          <w:color w:val="000000" w:themeColor="text1"/>
          <w:sz w:val="24"/>
          <w:highlight w:val="none"/>
          <w:bdr w:val="single" w:color="auto" w:sz="4" w:space="0"/>
          <w:lang w:val="en-US" w:eastAsia="zh-CN"/>
          <w14:textFill>
            <w14:solidFill>
              <w14:schemeClr w14:val="tx1"/>
            </w14:solidFill>
          </w14:textFill>
        </w:rPr>
        <w:t>2</w:t>
      </w:r>
      <w:r>
        <w:rPr>
          <w:rFonts w:hint="eastAsia" w:ascii="仿宋" w:hAnsi="仿宋" w:eastAsia="仿宋" w:cs="Arial"/>
          <w:b/>
          <w:bCs/>
          <w:color w:val="000000" w:themeColor="text1"/>
          <w:sz w:val="24"/>
          <w:highlight w:val="none"/>
          <w:bdr w:val="single" w:color="auto" w:sz="4" w:space="0"/>
          <w14:textFill>
            <w14:solidFill>
              <w14:schemeClr w14:val="tx1"/>
            </w14:solidFill>
          </w14:textFill>
        </w:rPr>
        <w:t>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绍兴市第七人民医院2025年绍兴出租车视频心理健康公益宣传服务项目</w:t>
      </w:r>
    </w:p>
    <w:p w14:paraId="1F50A2C8">
      <w:pPr>
        <w:adjustRightInd w:val="0"/>
        <w:snapToGrid w:val="0"/>
        <w:spacing w:line="360" w:lineRule="exact"/>
        <w:jc w:val="left"/>
        <w:rPr>
          <w:rFonts w:hint="eastAsia" w:ascii="仿宋_GB2312" w:hAnsi="仿宋_GB2312" w:eastAsia="仿宋_GB2312" w:cs="仿宋_GB2312"/>
          <w:kern w:val="0"/>
          <w:sz w:val="24"/>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75</w:t>
      </w:r>
      <w:r>
        <w:rPr>
          <w:rFonts w:hint="eastAsia" w:ascii="仿宋" w:hAnsi="仿宋" w:eastAsia="仿宋" w:cs="Arial"/>
          <w:b/>
          <w:bCs/>
          <w:color w:val="000000" w:themeColor="text1"/>
          <w:sz w:val="24"/>
          <w:highlight w:val="none"/>
          <w14:textFill>
            <w14:solidFill>
              <w14:schemeClr w14:val="tx1"/>
            </w14:solidFill>
          </w14:textFill>
        </w:rPr>
        <w:t>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6790C9B9">
      <w:pPr>
        <w:spacing w:line="400" w:lineRule="exact"/>
        <w:ind w:firstLine="482" w:firstLineChars="200"/>
        <w:rPr>
          <w:rFonts w:hint="eastAsia" w:ascii="仿宋" w:hAnsi="仿宋" w:eastAsia="仿宋" w:cs="仿宋"/>
          <w:b w:val="0"/>
          <w:bCs w:val="0"/>
          <w:i w:val="0"/>
          <w:iCs w:val="0"/>
          <w:color w:val="000000"/>
          <w:kern w:val="2"/>
          <w:sz w:val="24"/>
          <w:szCs w:val="20"/>
          <w:highlight w:val="none"/>
          <w:vertAlign w:val="baseline"/>
          <w:lang w:val="en-US" w:eastAsia="zh-CN" w:bidi="ar-SA"/>
        </w:rPr>
      </w:pPr>
      <w:r>
        <w:rPr>
          <w:rFonts w:hint="eastAsia" w:ascii="Times New Roman" w:hAnsi="Times New Roman" w:eastAsia="仿宋_GB2312" w:cs="Times New Roman"/>
          <w:b/>
          <w:bCs/>
          <w:sz w:val="24"/>
          <w:lang w:val="en-US" w:eastAsia="zh-CN"/>
        </w:rPr>
        <w:t>（一）项目内容</w:t>
      </w:r>
    </w:p>
    <w:p w14:paraId="1927522A">
      <w:pPr>
        <w:spacing w:line="40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lang w:eastAsia="zh-CN"/>
        </w:rPr>
        <w:t>在绍兴市区出租车</w:t>
      </w:r>
      <w:r>
        <w:rPr>
          <w:rFonts w:hint="default" w:ascii="Times New Roman" w:hAnsi="Times New Roman" w:eastAsia="仿宋_GB2312" w:cs="Times New Roman"/>
          <w:sz w:val="24"/>
        </w:rPr>
        <w:t>车顶全彩LED显示屏</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进行为期</w:t>
      </w:r>
      <w:r>
        <w:rPr>
          <w:rFonts w:hint="default" w:ascii="Times New Roman" w:hAnsi="Times New Roman" w:eastAsia="仿宋_GB2312" w:cs="Times New Roman"/>
          <w:sz w:val="24"/>
          <w:lang w:eastAsia="zh-CN"/>
        </w:rPr>
        <w:t>半年</w:t>
      </w:r>
      <w:r>
        <w:rPr>
          <w:rFonts w:hint="default" w:ascii="Times New Roman" w:hAnsi="Times New Roman" w:eastAsia="仿宋_GB2312" w:cs="Times New Roman"/>
          <w:sz w:val="24"/>
        </w:rPr>
        <w:t>的</w:t>
      </w:r>
      <w:r>
        <w:rPr>
          <w:rFonts w:hint="default" w:ascii="Times New Roman" w:hAnsi="Times New Roman" w:eastAsia="仿宋_GB2312" w:cs="Times New Roman"/>
          <w:sz w:val="24"/>
          <w:lang w:eastAsia="zh-CN"/>
        </w:rPr>
        <w:t>心理健康和精神卫生</w:t>
      </w:r>
      <w:r>
        <w:rPr>
          <w:rFonts w:hint="default" w:ascii="Times New Roman" w:hAnsi="Times New Roman" w:eastAsia="仿宋_GB2312" w:cs="Times New Roman"/>
          <w:sz w:val="24"/>
        </w:rPr>
        <w:t>视频宣传</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宣传视频由供应商根据</w:t>
      </w:r>
      <w:r>
        <w:rPr>
          <w:rFonts w:hint="default" w:ascii="Times New Roman" w:hAnsi="Times New Roman" w:eastAsia="仿宋_GB2312" w:cs="Times New Roman"/>
          <w:sz w:val="24"/>
          <w:lang w:eastAsia="zh-CN"/>
        </w:rPr>
        <w:t>采购人</w:t>
      </w:r>
      <w:r>
        <w:rPr>
          <w:rFonts w:hint="default" w:ascii="Times New Roman" w:hAnsi="Times New Roman" w:eastAsia="仿宋_GB2312" w:cs="Times New Roman"/>
          <w:sz w:val="24"/>
        </w:rPr>
        <w:t>要求进行制作。</w:t>
      </w:r>
    </w:p>
    <w:p w14:paraId="5690E131">
      <w:pPr>
        <w:spacing w:line="400" w:lineRule="exact"/>
        <w:ind w:firstLine="482" w:firstLineChars="200"/>
        <w:rPr>
          <w:rFonts w:hint="default" w:ascii="Times New Roman" w:hAnsi="Times New Roman" w:eastAsia="黑体" w:cs="Times New Roman"/>
          <w:b w:val="0"/>
          <w:bCs w:val="0"/>
          <w:sz w:val="24"/>
          <w:szCs w:val="32"/>
        </w:rPr>
      </w:pPr>
      <w:r>
        <w:rPr>
          <w:rFonts w:hint="eastAsia" w:ascii="Times New Roman" w:hAnsi="Times New Roman" w:eastAsia="仿宋_GB2312" w:cs="Times New Roman"/>
          <w:b/>
          <w:bCs/>
          <w:sz w:val="24"/>
          <w:lang w:val="en-US" w:eastAsia="zh-CN"/>
        </w:rPr>
        <w:t>（二）项目要求</w:t>
      </w:r>
    </w:p>
    <w:tbl>
      <w:tblPr>
        <w:tblStyle w:val="63"/>
        <w:tblW w:w="8642" w:type="dxa"/>
        <w:jc w:val="center"/>
        <w:tblLayout w:type="autofit"/>
        <w:tblCellMar>
          <w:top w:w="0" w:type="dxa"/>
          <w:left w:w="108" w:type="dxa"/>
          <w:bottom w:w="0" w:type="dxa"/>
          <w:right w:w="108" w:type="dxa"/>
        </w:tblCellMar>
      </w:tblPr>
      <w:tblGrid>
        <w:gridCol w:w="1089"/>
        <w:gridCol w:w="7553"/>
      </w:tblGrid>
      <w:tr w14:paraId="38CFF383">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5325D537">
            <w:pPr>
              <w:widowControl/>
              <w:jc w:val="center"/>
              <w:rPr>
                <w:rFonts w:hint="default" w:ascii="Times New Roman" w:hAnsi="Times New Roman" w:eastAsia="仿宋_GB2312" w:cs="Times New Roman"/>
                <w:b/>
                <w:bCs/>
                <w:kern w:val="2"/>
                <w:sz w:val="24"/>
                <w:szCs w:val="22"/>
                <w:lang w:val="en-US" w:eastAsia="zh-CN" w:bidi="ar-SA"/>
              </w:rPr>
            </w:pPr>
            <w:r>
              <w:rPr>
                <w:rFonts w:hint="default" w:ascii="Times New Roman" w:hAnsi="Times New Roman" w:eastAsia="仿宋_GB2312" w:cs="Times New Roman"/>
                <w:b/>
                <w:bCs/>
                <w:sz w:val="24"/>
              </w:rPr>
              <w:t>序号</w:t>
            </w:r>
          </w:p>
        </w:tc>
        <w:tc>
          <w:tcPr>
            <w:tcW w:w="7553" w:type="dxa"/>
            <w:tcBorders>
              <w:top w:val="single" w:color="auto" w:sz="4" w:space="0"/>
              <w:left w:val="single" w:color="auto" w:sz="4" w:space="0"/>
              <w:bottom w:val="single" w:color="auto" w:sz="4" w:space="0"/>
              <w:right w:val="single" w:color="auto" w:sz="4" w:space="0"/>
            </w:tcBorders>
            <w:noWrap/>
            <w:vAlign w:val="center"/>
          </w:tcPr>
          <w:p w14:paraId="5B1710FD">
            <w:pPr>
              <w:widowControl/>
              <w:jc w:val="center"/>
              <w:rPr>
                <w:rFonts w:hint="default" w:ascii="Times New Roman" w:hAnsi="Times New Roman" w:eastAsia="仿宋_GB2312" w:cs="Times New Roman"/>
                <w:b/>
                <w:bCs/>
                <w:kern w:val="2"/>
                <w:sz w:val="24"/>
                <w:szCs w:val="22"/>
                <w:lang w:val="en-US" w:eastAsia="zh-CN" w:bidi="ar-SA"/>
              </w:rPr>
            </w:pPr>
            <w:r>
              <w:rPr>
                <w:rFonts w:hint="eastAsia" w:ascii="Times New Roman" w:hAnsi="Times New Roman" w:eastAsia="仿宋_GB2312" w:cs="Times New Roman"/>
                <w:b/>
                <w:bCs/>
                <w:sz w:val="24"/>
                <w:lang w:val="en-US" w:eastAsia="zh-CN"/>
              </w:rPr>
              <w:t>项目</w:t>
            </w:r>
            <w:r>
              <w:rPr>
                <w:rFonts w:hint="default" w:ascii="Times New Roman" w:hAnsi="Times New Roman" w:eastAsia="仿宋_GB2312" w:cs="Times New Roman"/>
                <w:b/>
                <w:bCs/>
                <w:sz w:val="24"/>
              </w:rPr>
              <w:t>要求</w:t>
            </w:r>
          </w:p>
        </w:tc>
      </w:tr>
      <w:tr w14:paraId="43E149D7">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61C51404">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1</w:t>
            </w:r>
          </w:p>
        </w:tc>
        <w:tc>
          <w:tcPr>
            <w:tcW w:w="7553" w:type="dxa"/>
            <w:tcBorders>
              <w:top w:val="single" w:color="auto" w:sz="4" w:space="0"/>
              <w:left w:val="single" w:color="auto" w:sz="4" w:space="0"/>
              <w:bottom w:val="single" w:color="auto" w:sz="4" w:space="0"/>
              <w:right w:val="single" w:color="auto" w:sz="4" w:space="0"/>
            </w:tcBorders>
            <w:noWrap/>
            <w:vAlign w:val="center"/>
          </w:tcPr>
          <w:p w14:paraId="2E49CC51">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 xml:space="preserve"> 项目概述：</w:t>
            </w:r>
            <w:r>
              <w:rPr>
                <w:rFonts w:hint="default" w:ascii="仿宋_GB2312" w:hAnsi="宋体" w:eastAsia="仿宋_GB2312" w:cs="Arial"/>
                <w:b w:val="0"/>
                <w:bCs w:val="0"/>
                <w:kern w:val="2"/>
                <w:sz w:val="24"/>
                <w:szCs w:val="22"/>
                <w:lang w:val="en-US" w:eastAsia="zh-CN" w:bidi="ar-SA"/>
              </w:rPr>
              <w:t>出租车视频心理健康</w:t>
            </w:r>
            <w:r>
              <w:rPr>
                <w:rFonts w:hint="eastAsia" w:ascii="仿宋_GB2312" w:hAnsi="宋体" w:eastAsia="仿宋_GB2312" w:cs="Arial"/>
                <w:b w:val="0"/>
                <w:bCs w:val="0"/>
                <w:kern w:val="2"/>
                <w:sz w:val="24"/>
                <w:szCs w:val="22"/>
                <w:lang w:val="en-US" w:eastAsia="zh-CN" w:bidi="ar-SA"/>
              </w:rPr>
              <w:t>公益</w:t>
            </w:r>
            <w:r>
              <w:rPr>
                <w:rFonts w:hint="default" w:ascii="仿宋_GB2312" w:hAnsi="宋体" w:eastAsia="仿宋_GB2312" w:cs="Arial"/>
                <w:b w:val="0"/>
                <w:bCs w:val="0"/>
                <w:kern w:val="2"/>
                <w:sz w:val="24"/>
                <w:szCs w:val="22"/>
                <w:lang w:val="en-US" w:eastAsia="zh-CN" w:bidi="ar-SA"/>
              </w:rPr>
              <w:t>宣传服务</w:t>
            </w:r>
          </w:p>
        </w:tc>
      </w:tr>
      <w:tr w14:paraId="235845C1">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3793640C">
            <w:pPr>
              <w:widowControl/>
              <w:jc w:val="center"/>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2</w:t>
            </w:r>
          </w:p>
        </w:tc>
        <w:tc>
          <w:tcPr>
            <w:tcW w:w="7553" w:type="dxa"/>
            <w:tcBorders>
              <w:top w:val="single" w:color="auto" w:sz="4" w:space="0"/>
              <w:left w:val="single" w:color="auto" w:sz="4" w:space="0"/>
              <w:bottom w:val="single" w:color="auto" w:sz="4" w:space="0"/>
              <w:right w:val="single" w:color="auto" w:sz="4" w:space="0"/>
            </w:tcBorders>
            <w:noWrap/>
            <w:vAlign w:val="center"/>
          </w:tcPr>
          <w:p w14:paraId="45FF68A2">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 xml:space="preserve"> 项目要求：</w:t>
            </w:r>
          </w:p>
        </w:tc>
      </w:tr>
      <w:tr w14:paraId="669B28A0">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27339B14">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2.1</w:t>
            </w:r>
          </w:p>
        </w:tc>
        <w:tc>
          <w:tcPr>
            <w:tcW w:w="7553" w:type="dxa"/>
            <w:tcBorders>
              <w:top w:val="single" w:color="auto" w:sz="4" w:space="0"/>
              <w:left w:val="single" w:color="auto" w:sz="4" w:space="0"/>
              <w:bottom w:val="single" w:color="auto" w:sz="4" w:space="0"/>
              <w:right w:val="single" w:color="auto" w:sz="4" w:space="0"/>
            </w:tcBorders>
            <w:noWrap/>
            <w:vAlign w:val="center"/>
          </w:tcPr>
          <w:p w14:paraId="62FAB6E9">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由供应商制作宣传视频并在市区内彩屏出租车辆上播放；</w:t>
            </w:r>
          </w:p>
        </w:tc>
      </w:tr>
      <w:tr w14:paraId="37B913DC">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46D2F6C9">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2.2</w:t>
            </w:r>
          </w:p>
        </w:tc>
        <w:tc>
          <w:tcPr>
            <w:tcW w:w="7553" w:type="dxa"/>
            <w:tcBorders>
              <w:top w:val="single" w:color="auto" w:sz="4" w:space="0"/>
              <w:left w:val="single" w:color="auto" w:sz="4" w:space="0"/>
              <w:bottom w:val="single" w:color="auto" w:sz="4" w:space="0"/>
              <w:right w:val="single" w:color="auto" w:sz="4" w:space="0"/>
            </w:tcBorders>
            <w:noWrap/>
            <w:vAlign w:val="center"/>
          </w:tcPr>
          <w:p w14:paraId="2DA7E6EF">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视频时长15秒；</w:t>
            </w:r>
          </w:p>
        </w:tc>
      </w:tr>
      <w:tr w14:paraId="486F10F2">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623FC657">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2.3</w:t>
            </w:r>
          </w:p>
        </w:tc>
        <w:tc>
          <w:tcPr>
            <w:tcW w:w="7553" w:type="dxa"/>
            <w:tcBorders>
              <w:top w:val="single" w:color="auto" w:sz="4" w:space="0"/>
              <w:left w:val="single" w:color="auto" w:sz="4" w:space="0"/>
              <w:bottom w:val="single" w:color="auto" w:sz="4" w:space="0"/>
              <w:right w:val="single" w:color="auto" w:sz="4" w:space="0"/>
            </w:tcBorders>
            <w:noWrap/>
            <w:vAlign w:val="center"/>
          </w:tcPr>
          <w:p w14:paraId="58D75E4A">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播放视频车辆总数不少于450辆；</w:t>
            </w:r>
          </w:p>
        </w:tc>
      </w:tr>
      <w:tr w14:paraId="59405AE6">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5E354A2F">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2.4</w:t>
            </w:r>
          </w:p>
        </w:tc>
        <w:tc>
          <w:tcPr>
            <w:tcW w:w="7553" w:type="dxa"/>
            <w:tcBorders>
              <w:top w:val="single" w:color="auto" w:sz="4" w:space="0"/>
              <w:left w:val="single" w:color="auto" w:sz="4" w:space="0"/>
              <w:bottom w:val="single" w:color="auto" w:sz="4" w:space="0"/>
              <w:right w:val="single" w:color="auto" w:sz="4" w:space="0"/>
            </w:tcBorders>
            <w:noWrap/>
            <w:vAlign w:val="center"/>
          </w:tcPr>
          <w:p w14:paraId="226AE0AE">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视频播出频次不少于200次/车/天；</w:t>
            </w:r>
          </w:p>
        </w:tc>
      </w:tr>
      <w:tr w14:paraId="506A9B39">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6AA04B27">
            <w:pPr>
              <w:widowControl/>
              <w:jc w:val="center"/>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2.5</w:t>
            </w:r>
          </w:p>
        </w:tc>
        <w:tc>
          <w:tcPr>
            <w:tcW w:w="7553" w:type="dxa"/>
            <w:tcBorders>
              <w:top w:val="single" w:color="auto" w:sz="4" w:space="0"/>
              <w:left w:val="single" w:color="auto" w:sz="4" w:space="0"/>
              <w:bottom w:val="single" w:color="auto" w:sz="4" w:space="0"/>
              <w:right w:val="single" w:color="auto" w:sz="4" w:space="0"/>
            </w:tcBorders>
            <w:noWrap/>
            <w:vAlign w:val="center"/>
          </w:tcPr>
          <w:p w14:paraId="5C31DF84">
            <w:pPr>
              <w:widowControl/>
              <w:jc w:val="left"/>
              <w:rPr>
                <w:rFonts w:hint="default" w:ascii="仿宋_GB2312" w:hAnsi="宋体" w:eastAsia="仿宋_GB2312" w:cs="Arial"/>
                <w:b w:val="0"/>
                <w:bCs w:val="0"/>
                <w:kern w:val="2"/>
                <w:sz w:val="24"/>
                <w:szCs w:val="22"/>
                <w:lang w:val="en-US" w:eastAsia="zh-CN" w:bidi="ar-SA"/>
              </w:rPr>
            </w:pPr>
            <w:r>
              <w:rPr>
                <w:rFonts w:hint="default" w:ascii="仿宋_GB2312" w:hAnsi="宋体" w:eastAsia="仿宋_GB2312" w:cs="Arial"/>
                <w:b w:val="0"/>
                <w:bCs w:val="0"/>
                <w:kern w:val="2"/>
                <w:sz w:val="24"/>
                <w:szCs w:val="22"/>
                <w:lang w:val="en-US" w:eastAsia="zh-CN" w:bidi="ar-SA"/>
              </w:rPr>
              <w:t xml:space="preserve"> 可免费更换2次视频。</w:t>
            </w:r>
          </w:p>
        </w:tc>
      </w:tr>
      <w:tr w14:paraId="276541FC">
        <w:tblPrEx>
          <w:tblCellMar>
            <w:top w:w="0" w:type="dxa"/>
            <w:left w:w="108" w:type="dxa"/>
            <w:bottom w:w="0" w:type="dxa"/>
            <w:right w:w="108" w:type="dxa"/>
          </w:tblCellMar>
        </w:tblPrEx>
        <w:trPr>
          <w:trHeight w:val="402" w:hRule="atLeast"/>
          <w:jc w:val="center"/>
        </w:trPr>
        <w:tc>
          <w:tcPr>
            <w:tcW w:w="1089" w:type="dxa"/>
            <w:tcBorders>
              <w:top w:val="single" w:color="auto" w:sz="4" w:space="0"/>
              <w:left w:val="single" w:color="auto" w:sz="4" w:space="0"/>
              <w:bottom w:val="single" w:color="auto" w:sz="4" w:space="0"/>
              <w:right w:val="single" w:color="auto" w:sz="4" w:space="0"/>
            </w:tcBorders>
            <w:noWrap/>
            <w:vAlign w:val="center"/>
          </w:tcPr>
          <w:p w14:paraId="0A10C4A5">
            <w:pPr>
              <w:widowControl/>
              <w:jc w:val="center"/>
              <w:rPr>
                <w:rFonts w:hint="default" w:ascii="仿宋_GB2312" w:hAnsi="宋体" w:eastAsia="仿宋_GB2312" w:cs="Arial"/>
                <w:b w:val="0"/>
                <w:bCs w:val="0"/>
                <w:kern w:val="2"/>
                <w:sz w:val="24"/>
                <w:szCs w:val="22"/>
                <w:lang w:val="en-US" w:eastAsia="zh-CN" w:bidi="ar-SA"/>
              </w:rPr>
            </w:pPr>
            <w:r>
              <w:rPr>
                <w:rFonts w:hint="eastAsia" w:ascii="仿宋" w:hAnsi="仿宋" w:eastAsia="仿宋" w:cs="仿宋"/>
                <w:sz w:val="24"/>
                <w:highlight w:val="none"/>
              </w:rPr>
              <w:t>★</w:t>
            </w:r>
            <w:r>
              <w:rPr>
                <w:rFonts w:hint="eastAsia" w:ascii="仿宋_GB2312" w:hAnsi="宋体" w:eastAsia="仿宋_GB2312" w:cs="Arial"/>
                <w:b w:val="0"/>
                <w:bCs w:val="0"/>
                <w:kern w:val="2"/>
                <w:sz w:val="24"/>
                <w:szCs w:val="22"/>
                <w:lang w:val="en-US" w:eastAsia="zh-CN" w:bidi="ar-SA"/>
              </w:rPr>
              <w:t>3</w:t>
            </w:r>
          </w:p>
        </w:tc>
        <w:tc>
          <w:tcPr>
            <w:tcW w:w="7553" w:type="dxa"/>
            <w:tcBorders>
              <w:top w:val="single" w:color="auto" w:sz="4" w:space="0"/>
              <w:left w:val="single" w:color="auto" w:sz="4" w:space="0"/>
              <w:bottom w:val="single" w:color="auto" w:sz="4" w:space="0"/>
              <w:right w:val="single" w:color="auto" w:sz="4" w:space="0"/>
            </w:tcBorders>
            <w:noWrap/>
            <w:vAlign w:val="center"/>
          </w:tcPr>
          <w:p w14:paraId="072F1360">
            <w:pPr>
              <w:widowControl/>
              <w:jc w:val="left"/>
              <w:rPr>
                <w:rFonts w:hint="default" w:ascii="仿宋_GB2312" w:hAnsi="宋体" w:eastAsia="仿宋_GB2312" w:cs="Arial"/>
                <w:b w:val="0"/>
                <w:bCs w:val="0"/>
                <w:kern w:val="2"/>
                <w:sz w:val="24"/>
                <w:szCs w:val="22"/>
                <w:lang w:val="en-US" w:eastAsia="zh-CN" w:bidi="ar-SA"/>
              </w:rPr>
            </w:pPr>
            <w:r>
              <w:rPr>
                <w:rFonts w:hint="eastAsia" w:ascii="仿宋_GB2312" w:hAnsi="宋体" w:eastAsia="仿宋_GB2312" w:cs="Arial"/>
                <w:b w:val="0"/>
                <w:bCs w:val="0"/>
                <w:kern w:val="2"/>
                <w:sz w:val="24"/>
                <w:szCs w:val="22"/>
                <w:lang w:val="en-US" w:eastAsia="zh-CN" w:bidi="ar-SA"/>
              </w:rPr>
              <w:t>供应商须具有绍兴出租车的广告资源经营权或承诺中标后7个工作日内取得绍兴出租车的广告资源经营权，商务技术文件中提供广告资源经营权证明材料且在有效期内或提供承诺函，格式自拟，并加盖供应商公章。</w:t>
            </w:r>
          </w:p>
        </w:tc>
      </w:tr>
    </w:tbl>
    <w:p w14:paraId="1FF2826A">
      <w:pPr>
        <w:spacing w:line="400" w:lineRule="exact"/>
        <w:ind w:firstLine="482" w:firstLineChars="200"/>
        <w:rPr>
          <w:rFonts w:hint="default" w:ascii="Times New Roman" w:hAnsi="Times New Roman" w:eastAsia="黑体" w:cs="Times New Roman"/>
          <w:b w:val="0"/>
          <w:bCs w:val="0"/>
          <w:sz w:val="24"/>
          <w:szCs w:val="32"/>
        </w:rPr>
      </w:pPr>
      <w:r>
        <w:rPr>
          <w:rFonts w:hint="eastAsia" w:ascii="Times New Roman" w:hAnsi="Times New Roman" w:eastAsia="仿宋_GB2312" w:cs="Times New Roman"/>
          <w:b/>
          <w:bCs/>
          <w:sz w:val="24"/>
          <w:lang w:val="en-US" w:eastAsia="zh-CN"/>
        </w:rPr>
        <w:t>（三）服务</w:t>
      </w:r>
      <w:r>
        <w:rPr>
          <w:rFonts w:hint="default" w:ascii="Times New Roman" w:hAnsi="Times New Roman" w:eastAsia="仿宋_GB2312" w:cs="Times New Roman"/>
          <w:b/>
          <w:bCs/>
          <w:sz w:val="24"/>
          <w:lang w:val="en-US" w:eastAsia="zh-CN"/>
        </w:rPr>
        <w:t>期限</w:t>
      </w:r>
    </w:p>
    <w:p w14:paraId="3BA75E87">
      <w:pPr>
        <w:spacing w:line="400" w:lineRule="exact"/>
        <w:ind w:firstLine="480" w:firstLineChars="200"/>
        <w:rPr>
          <w:rFonts w:hint="default" w:ascii="Times New Roman" w:hAnsi="Times New Roman" w:eastAsia="仿宋" w:cs="Times New Roman"/>
          <w:sz w:val="24"/>
          <w:lang w:val="en-US" w:eastAsia="zh-CN"/>
        </w:rPr>
      </w:pPr>
      <w:r>
        <w:rPr>
          <w:rFonts w:hint="default" w:ascii="Times New Roman" w:hAnsi="Times New Roman" w:eastAsia="仿宋_GB2312" w:cs="Times New Roman"/>
          <w:sz w:val="24"/>
          <w:lang w:val="en-US" w:eastAsia="zh-CN"/>
        </w:rPr>
        <w:t>自视频上刊之日</w:t>
      </w:r>
      <w:r>
        <w:rPr>
          <w:rFonts w:hint="default" w:ascii="Times New Roman" w:hAnsi="Times New Roman" w:eastAsia="仿宋" w:cs="Times New Roman"/>
          <w:sz w:val="24"/>
          <w:lang w:val="en-US" w:eastAsia="zh-CN"/>
        </w:rPr>
        <w:t>半年（6个月）。</w:t>
      </w:r>
    </w:p>
    <w:p w14:paraId="18A38EFF">
      <w:pPr>
        <w:spacing w:line="400" w:lineRule="exact"/>
        <w:ind w:firstLine="482" w:firstLineChars="200"/>
        <w:rPr>
          <w:rFonts w:hint="eastAsia" w:ascii="Times New Roman" w:hAnsi="Times New Roman" w:eastAsia="仿宋_GB2312" w:cs="Times New Roman"/>
          <w:b/>
          <w:bCs/>
          <w:sz w:val="24"/>
          <w:lang w:val="en-US" w:eastAsia="zh-CN"/>
        </w:rPr>
      </w:pPr>
      <w:r>
        <w:rPr>
          <w:rFonts w:hint="eastAsia" w:ascii="Times New Roman" w:hAnsi="Times New Roman" w:eastAsia="仿宋_GB2312" w:cs="Times New Roman"/>
          <w:b/>
          <w:bCs/>
          <w:sz w:val="24"/>
          <w:lang w:val="en-US" w:eastAsia="zh-CN"/>
        </w:rPr>
        <w:t>（四）付款方式</w:t>
      </w: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Times New Roman" w:hAnsi="Times New Roman" w:eastAsia="仿宋_GB2312" w:cs="Times New Roman"/>
          <w:sz w:val="24"/>
          <w:lang w:val="en-US" w:eastAsia="zh-CN"/>
        </w:rPr>
        <w:t>本标项上限单价为：0.00463元/天/车/次，按实结算。根据《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4940A962">
      <w:pPr>
        <w:kinsoku/>
        <w:overflowPunct/>
        <w:topLinePunct w:val="0"/>
        <w:bidi w:val="0"/>
        <w:spacing w:beforeLines="0" w:afterLines="0" w:line="400" w:lineRule="exac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合同编号：</w:t>
      </w:r>
      <w:r>
        <w:rPr>
          <w:rFonts w:hint="eastAsia" w:ascii="仿宋" w:hAnsi="仿宋" w:eastAsia="仿宋" w:cs="仿宋"/>
          <w:color w:val="auto"/>
          <w:sz w:val="24"/>
          <w:szCs w:val="24"/>
          <w:highlight w:val="none"/>
          <w:u w:val="single"/>
        </w:rPr>
        <w:t xml:space="preserve">           </w:t>
      </w:r>
    </w:p>
    <w:p w14:paraId="3B0ABEB5">
      <w:pPr>
        <w:kinsoku/>
        <w:overflowPunct/>
        <w:topLinePunct w:val="0"/>
        <w:bidi w:val="0"/>
        <w:spacing w:beforeLines="0" w:afterLines="0" w:line="400" w:lineRule="exact"/>
        <w:jc w:val="center"/>
        <w:rPr>
          <w:rFonts w:hint="eastAsia" w:ascii="仿宋" w:hAnsi="仿宋" w:eastAsia="仿宋" w:cs="仿宋"/>
          <w:b/>
          <w:color w:val="auto"/>
          <w:sz w:val="28"/>
          <w:szCs w:val="28"/>
          <w:highlight w:val="none"/>
        </w:rPr>
      </w:pPr>
    </w:p>
    <w:p w14:paraId="5C988E12">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290FD62C">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1B9F70EA">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5F921F87">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510D59C4">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p>
    <w:p w14:paraId="15D058A0">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6D008F9">
      <w:pPr>
        <w:kinsoku/>
        <w:overflowPunct/>
        <w:topLinePunct w:val="0"/>
        <w:bidi w:val="0"/>
        <w:spacing w:beforeLines="0" w:afterLines="0" w:line="4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2A982EA5">
      <w:pPr>
        <w:pStyle w:val="703"/>
        <w:kinsoku/>
        <w:overflowPunct/>
        <w:topLinePunct w:val="0"/>
        <w:bidi w:val="0"/>
        <w:spacing w:beforeLines="0" w:afterLines="0" w:line="400" w:lineRule="exact"/>
        <w:ind w:firstLine="2843" w:firstLineChars="11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第一部分 合同书</w:t>
      </w:r>
    </w:p>
    <w:p w14:paraId="683E2665">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33BDDC84">
      <w:pPr>
        <w:pStyle w:val="4"/>
        <w:kinsoku/>
        <w:overflowPunct/>
        <w:topLinePunct w:val="0"/>
        <w:bidi w:val="0"/>
        <w:spacing w:beforeLines="0" w:afterLines="0" w:line="400" w:lineRule="exact"/>
        <w:rPr>
          <w:rFonts w:hint="eastAsia" w:ascii="仿宋" w:eastAsia="仿宋" w:cs="仿宋"/>
          <w:color w:val="auto"/>
          <w:sz w:val="32"/>
          <w:szCs w:val="32"/>
          <w:highlight w:val="none"/>
        </w:rPr>
      </w:pPr>
    </w:p>
    <w:p w14:paraId="08A903B8">
      <w:pPr>
        <w:kinsoku/>
        <w:overflowPunct/>
        <w:topLinePunct w:val="0"/>
        <w:bidi w:val="0"/>
        <w:spacing w:before="120" w:beforeLines="0" w:afterLines="0" w:line="400" w:lineRule="exact"/>
        <w:ind w:left="96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u w:val="single"/>
        </w:rPr>
        <w:t xml:space="preserve">                                   </w:t>
      </w:r>
    </w:p>
    <w:p w14:paraId="36F73E8E">
      <w:pPr>
        <w:pStyle w:val="600"/>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1C285887">
      <w:pPr>
        <w:pStyle w:val="600"/>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4C175B8A">
      <w:pPr>
        <w:kinsoku/>
        <w:overflowPunct/>
        <w:topLinePunct w:val="0"/>
        <w:bidi w:val="0"/>
        <w:spacing w:beforeLines="0" w:afterLines="0" w:line="400" w:lineRule="exact"/>
        <w:rPr>
          <w:rFonts w:hint="eastAsia" w:ascii="仿宋" w:hAnsi="仿宋" w:eastAsia="仿宋" w:cs="仿宋"/>
          <w:color w:val="auto"/>
          <w:sz w:val="24"/>
          <w:szCs w:val="24"/>
          <w:highlight w:val="none"/>
        </w:rPr>
      </w:pPr>
    </w:p>
    <w:p w14:paraId="58C5B63B">
      <w:pPr>
        <w:kinsoku/>
        <w:overflowPunct/>
        <w:topLinePunct w:val="0"/>
        <w:bidi w:val="0"/>
        <w:spacing w:before="120" w:beforeLines="0" w:afterLines="0" w:line="400" w:lineRule="exact"/>
        <w:ind w:left="960"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u w:val="single"/>
        </w:rPr>
        <w:t xml:space="preserve">                                       </w:t>
      </w:r>
    </w:p>
    <w:p w14:paraId="087A5A49">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725E516F">
      <w:pPr>
        <w:kinsoku/>
        <w:overflowPunct/>
        <w:topLinePunct w:val="0"/>
        <w:bidi w:val="0"/>
        <w:spacing w:before="120" w:beforeLines="0" w:afterLines="0" w:line="400" w:lineRule="exact"/>
        <w:ind w:left="960"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乙方：</w:t>
      </w:r>
      <w:r>
        <w:rPr>
          <w:rFonts w:hint="eastAsia" w:ascii="仿宋" w:hAnsi="仿宋" w:eastAsia="仿宋" w:cs="仿宋"/>
          <w:color w:val="auto"/>
          <w:sz w:val="24"/>
          <w:szCs w:val="24"/>
          <w:highlight w:val="none"/>
          <w:u w:val="single"/>
        </w:rPr>
        <w:t xml:space="preserve">                                       </w:t>
      </w:r>
    </w:p>
    <w:p w14:paraId="27BB7B36">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73A9493A">
      <w:pPr>
        <w:kinsoku/>
        <w:overflowPunct/>
        <w:topLinePunct w:val="0"/>
        <w:bidi w:val="0"/>
        <w:spacing w:before="120" w:beforeLines="0" w:afterLines="0" w:line="400" w:lineRule="exact"/>
        <w:ind w:firstLine="1440" w:firstLineChars="6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签订地：</w:t>
      </w:r>
      <w:r>
        <w:rPr>
          <w:rFonts w:hint="eastAsia" w:ascii="仿宋" w:hAnsi="仿宋" w:eastAsia="仿宋" w:cs="仿宋"/>
          <w:color w:val="auto"/>
          <w:sz w:val="24"/>
          <w:szCs w:val="24"/>
          <w:highlight w:val="none"/>
          <w:u w:val="single"/>
        </w:rPr>
        <w:t xml:space="preserve">                                     </w:t>
      </w:r>
    </w:p>
    <w:p w14:paraId="72319D4E">
      <w:pPr>
        <w:kinsoku/>
        <w:overflowPunct/>
        <w:topLinePunct w:val="0"/>
        <w:bidi w:val="0"/>
        <w:spacing w:before="120" w:beforeLines="0" w:afterLines="0" w:line="400" w:lineRule="exact"/>
        <w:rPr>
          <w:rFonts w:hint="eastAsia" w:ascii="仿宋" w:hAnsi="仿宋" w:eastAsia="仿宋" w:cs="仿宋"/>
          <w:color w:val="auto"/>
          <w:sz w:val="24"/>
          <w:szCs w:val="24"/>
          <w:highlight w:val="none"/>
        </w:rPr>
      </w:pPr>
    </w:p>
    <w:p w14:paraId="3E87C06A">
      <w:pPr>
        <w:kinsoku/>
        <w:overflowPunct/>
        <w:topLinePunct w:val="0"/>
        <w:bidi w:val="0"/>
        <w:spacing w:before="120" w:beforeLines="0" w:afterLines="0" w:line="400" w:lineRule="exact"/>
        <w:ind w:firstLine="1440" w:firstLineChars="600"/>
        <w:rPr>
          <w:rFonts w:hint="eastAsia" w:ascii="仿宋" w:hAnsi="仿宋" w:eastAsia="仿宋" w:cs="仿宋"/>
          <w:color w:val="auto"/>
          <w:kern w:val="0"/>
          <w:sz w:val="24"/>
          <w:szCs w:val="24"/>
          <w:highlight w:val="none"/>
        </w:rPr>
        <w:sectPr>
          <w:pgSz w:w="11907" w:h="16840"/>
          <w:pgMar w:top="1474" w:right="1814" w:bottom="1474" w:left="1814" w:header="851" w:footer="851" w:gutter="0"/>
          <w:lnNumType w:countBy="0" w:distance="360"/>
          <w:pgNumType w:fmt="decimal"/>
          <w:cols w:space="720" w:num="1"/>
          <w:titlePg/>
          <w:docGrid w:linePitch="312" w:charSpace="0"/>
        </w:sectPr>
      </w:pPr>
      <w:r>
        <w:rPr>
          <w:rFonts w:hint="eastAsia" w:ascii="仿宋" w:hAnsi="仿宋" w:eastAsia="仿宋" w:cs="仿宋"/>
          <w:color w:val="auto"/>
          <w:sz w:val="24"/>
          <w:szCs w:val="24"/>
          <w:highlight w:val="none"/>
        </w:rPr>
        <w:t>签订日期：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6F42A1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年</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月</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日</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（采购人）   </w:t>
      </w:r>
      <w:r>
        <w:rPr>
          <w:rFonts w:hint="eastAsia" w:ascii="仿宋" w:hAnsi="仿宋" w:eastAsia="仿宋" w:cs="仿宋"/>
          <w:color w:val="auto"/>
          <w:sz w:val="24"/>
          <w:szCs w:val="24"/>
          <w:highlight w:val="none"/>
        </w:rPr>
        <w:t>以</w:t>
      </w:r>
      <w:r>
        <w:rPr>
          <w:rFonts w:hint="eastAsia" w:ascii="仿宋" w:hAnsi="仿宋" w:eastAsia="仿宋" w:cs="仿宋"/>
          <w:color w:val="auto"/>
          <w:sz w:val="24"/>
          <w:szCs w:val="24"/>
          <w:highlight w:val="none"/>
          <w:u w:val="single"/>
        </w:rPr>
        <w:t xml:space="preserve">   （政府采购方式）  </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u w:val="single"/>
        </w:rPr>
        <w:t xml:space="preserve">  （项目名称）    </w:t>
      </w:r>
      <w:r>
        <w:rPr>
          <w:rFonts w:hint="eastAsia" w:ascii="仿宋" w:hAnsi="仿宋" w:eastAsia="仿宋" w:cs="仿宋"/>
          <w:color w:val="auto"/>
          <w:sz w:val="24"/>
          <w:szCs w:val="24"/>
          <w:highlight w:val="none"/>
        </w:rPr>
        <w:t>项目进行了采购。经</w:t>
      </w:r>
      <w:r>
        <w:rPr>
          <w:rFonts w:hint="eastAsia" w:ascii="仿宋" w:hAnsi="仿宋" w:eastAsia="仿宋" w:cs="仿宋"/>
          <w:color w:val="auto"/>
          <w:sz w:val="24"/>
          <w:szCs w:val="24"/>
          <w:highlight w:val="none"/>
          <w:u w:val="single"/>
        </w:rPr>
        <w:t xml:space="preserve">   （相关评定主体名称）   </w:t>
      </w:r>
      <w:r>
        <w:rPr>
          <w:rFonts w:hint="eastAsia" w:ascii="仿宋" w:hAnsi="仿宋" w:eastAsia="仿宋" w:cs="仿宋"/>
          <w:color w:val="auto"/>
          <w:sz w:val="24"/>
          <w:szCs w:val="24"/>
          <w:highlight w:val="none"/>
        </w:rPr>
        <w:t>评定，</w:t>
      </w:r>
      <w:r>
        <w:rPr>
          <w:rFonts w:hint="eastAsia" w:ascii="仿宋" w:hAnsi="仿宋" w:eastAsia="仿宋" w:cs="仿宋"/>
          <w:color w:val="auto"/>
          <w:sz w:val="24"/>
          <w:szCs w:val="24"/>
          <w:highlight w:val="none"/>
          <w:u w:val="single"/>
        </w:rPr>
        <w:t xml:space="preserve">   （中标或者成交供应商名称） </w:t>
      </w:r>
      <w:r>
        <w:rPr>
          <w:rFonts w:hint="eastAsia" w:ascii="仿宋" w:hAnsi="仿宋" w:eastAsia="仿宋" w:cs="仿宋"/>
          <w:color w:val="auto"/>
          <w:sz w:val="24"/>
          <w:szCs w:val="24"/>
          <w:highlight w:val="none"/>
        </w:rPr>
        <w:t>为该项目中标或者成交供应商。现于中标或者成交通知书发出之日起30日内，按照采购文件确定的事项签订本合同。</w:t>
      </w:r>
    </w:p>
    <w:p w14:paraId="24C6B70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szCs w:val="24"/>
          <w:highlight w:val="none"/>
          <w:u w:val="single"/>
        </w:rPr>
        <w:t xml:space="preserve">   （采购人）   </w:t>
      </w:r>
      <w:r>
        <w:rPr>
          <w:rFonts w:hint="eastAsia" w:ascii="仿宋" w:hAnsi="仿宋" w:eastAsia="仿宋" w:cs="仿宋"/>
          <w:color w:val="auto"/>
          <w:sz w:val="24"/>
          <w:szCs w:val="24"/>
          <w:highlight w:val="none"/>
          <w:lang w:val="zh-CN"/>
        </w:rPr>
        <w:t>(以下简称：甲方)和</w:t>
      </w:r>
      <w:r>
        <w:rPr>
          <w:rFonts w:hint="eastAsia" w:ascii="仿宋" w:hAnsi="仿宋" w:eastAsia="仿宋" w:cs="仿宋"/>
          <w:color w:val="auto"/>
          <w:sz w:val="24"/>
          <w:szCs w:val="24"/>
          <w:highlight w:val="none"/>
          <w:u w:val="single"/>
        </w:rPr>
        <w:t xml:space="preserve">   （中或者成交标供应商名称）   </w:t>
      </w:r>
      <w:r>
        <w:rPr>
          <w:rFonts w:hint="eastAsia" w:ascii="仿宋" w:hAnsi="仿宋" w:eastAsia="仿宋" w:cs="仿宋"/>
          <w:color w:val="auto"/>
          <w:sz w:val="24"/>
          <w:szCs w:val="24"/>
          <w:highlight w:val="none"/>
          <w:lang w:val="zh-CN"/>
        </w:rPr>
        <w:t>(以下简称：乙方)协商一致，约定以下合同</w:t>
      </w:r>
      <w:r>
        <w:rPr>
          <w:rFonts w:hint="eastAsia" w:ascii="仿宋" w:hAnsi="仿宋" w:eastAsia="仿宋" w:cs="仿宋"/>
          <w:color w:val="auto"/>
          <w:sz w:val="24"/>
          <w:szCs w:val="24"/>
          <w:highlight w:val="none"/>
        </w:rPr>
        <w:t>条款，以兹共同遵守、全面履行。</w:t>
      </w:r>
    </w:p>
    <w:p w14:paraId="76108315">
      <w:pPr>
        <w:kinsoku/>
        <w:overflowPunct/>
        <w:topLinePunct w:val="0"/>
        <w:bidi w:val="0"/>
        <w:spacing w:beforeLines="0" w:afterLines="0" w:line="400" w:lineRule="exact"/>
        <w:ind w:firstLine="482" w:firstLineChars="200"/>
        <w:outlineLvl w:val="0"/>
        <w:rPr>
          <w:rFonts w:hint="eastAsia" w:ascii="仿宋" w:hAnsi="仿宋" w:eastAsia="仿宋" w:cs="仿宋"/>
          <w:color w:val="auto"/>
          <w:sz w:val="24"/>
          <w:szCs w:val="24"/>
          <w:highlight w:val="none"/>
        </w:rPr>
      </w:pPr>
      <w:bookmarkStart w:id="39" w:name="_Toc15367"/>
      <w:bookmarkStart w:id="40" w:name="_Toc22967"/>
      <w:bookmarkStart w:id="41" w:name="_Toc20421"/>
      <w:bookmarkStart w:id="42" w:name="_Toc19273"/>
      <w:bookmarkStart w:id="43" w:name="_Toc28855"/>
      <w:r>
        <w:rPr>
          <w:rFonts w:hint="eastAsia" w:ascii="仿宋" w:hAnsi="仿宋" w:eastAsia="仿宋" w:cs="仿宋"/>
          <w:b/>
          <w:color w:val="auto"/>
          <w:sz w:val="24"/>
          <w:szCs w:val="24"/>
          <w:highlight w:val="none"/>
        </w:rPr>
        <w:t>1.1 合同组成部分</w:t>
      </w:r>
      <w:bookmarkEnd w:id="39"/>
      <w:bookmarkEnd w:id="40"/>
      <w:bookmarkEnd w:id="41"/>
      <w:bookmarkEnd w:id="42"/>
      <w:bookmarkEnd w:id="43"/>
    </w:p>
    <w:p w14:paraId="69F8F5C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C3AACB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 本合同及其补充合同、变更协议；</w:t>
      </w:r>
    </w:p>
    <w:p w14:paraId="35D8B81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 中标或者成交通知书；</w:t>
      </w:r>
    </w:p>
    <w:p w14:paraId="772B10B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 投标或者响应文件（含澄清或者说明文件）；</w:t>
      </w:r>
    </w:p>
    <w:p w14:paraId="37FC982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1.1.4 采购文件（含澄清或者修改文件）；</w:t>
      </w:r>
    </w:p>
    <w:p w14:paraId="250DE00C">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 其他相关采购文件。</w:t>
      </w:r>
    </w:p>
    <w:p w14:paraId="35E99965">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44" w:name="_Toc18585"/>
      <w:bookmarkStart w:id="45" w:name="_Toc6773"/>
      <w:bookmarkStart w:id="46" w:name="_Toc6311"/>
      <w:bookmarkStart w:id="47" w:name="_Toc2918"/>
      <w:bookmarkStart w:id="48" w:name="_Toc22185"/>
      <w:r>
        <w:rPr>
          <w:rFonts w:hint="eastAsia" w:ascii="仿宋" w:hAnsi="仿宋" w:eastAsia="仿宋" w:cs="仿宋"/>
          <w:b/>
          <w:color w:val="auto"/>
          <w:sz w:val="24"/>
          <w:szCs w:val="24"/>
          <w:highlight w:val="none"/>
        </w:rPr>
        <w:t>1.2 标的</w:t>
      </w:r>
      <w:bookmarkEnd w:id="44"/>
      <w:bookmarkEnd w:id="45"/>
      <w:bookmarkEnd w:id="46"/>
      <w:bookmarkEnd w:id="47"/>
      <w:bookmarkEnd w:id="48"/>
    </w:p>
    <w:p w14:paraId="44259D5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1.2.1 服务内容：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360555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1.2.2 服务标准：</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1E3EF4F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1.2.3 技术保障：</w:t>
      </w:r>
      <w:r>
        <w:rPr>
          <w:rFonts w:hint="eastAsia" w:ascii="仿宋" w:hAnsi="仿宋" w:eastAsia="仿宋" w:cs="仿宋"/>
          <w:color w:val="auto"/>
          <w:sz w:val="24"/>
          <w:szCs w:val="24"/>
          <w:highlight w:val="none"/>
          <w:u w:val="single"/>
        </w:rPr>
        <w:t>　　　　　　　　　                      　      ；</w:t>
      </w:r>
    </w:p>
    <w:p w14:paraId="005EBAAD">
      <w:pPr>
        <w:kinsoku/>
        <w:overflowPunct/>
        <w:topLinePunct w:val="0"/>
        <w:bidi w:val="0"/>
        <w:spacing w:beforeLines="0" w:afterLines="0" w:line="40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 服务人员组成：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E3C0D80">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1.2.5合同</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（是/否）涉及货物。若涉及货物的，则：</w:t>
      </w:r>
    </w:p>
    <w:p w14:paraId="0ADBD85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bookmarkStart w:id="49" w:name="_Toc5635"/>
      <w:bookmarkStart w:id="50" w:name="_Toc4929"/>
      <w:bookmarkStart w:id="51" w:name="_Toc1386"/>
      <w:bookmarkStart w:id="52" w:name="_Toc13918"/>
      <w:bookmarkStart w:id="53" w:name="_Toc21124"/>
      <w:r>
        <w:rPr>
          <w:rFonts w:hint="eastAsia" w:ascii="仿宋" w:hAnsi="仿宋" w:eastAsia="仿宋" w:cs="仿宋"/>
          <w:color w:val="auto"/>
          <w:sz w:val="24"/>
          <w:szCs w:val="24"/>
          <w:highlight w:val="none"/>
        </w:rPr>
        <w:t>1.2.5.1 货物名称、品牌、规格型号、花色：</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6D2FBD3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1.2.5.2 货物数量：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BF7A55F">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1.2.5.3 货物质量：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BCE7743">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1.3 价款</w:t>
      </w:r>
      <w:bookmarkEnd w:id="49"/>
      <w:bookmarkEnd w:id="50"/>
      <w:bookmarkEnd w:id="51"/>
      <w:bookmarkEnd w:id="52"/>
      <w:bookmarkEnd w:id="53"/>
    </w:p>
    <w:p w14:paraId="3DB75CD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本项目采用以下第</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条款规定的计价方式计价。</w:t>
      </w:r>
    </w:p>
    <w:p w14:paraId="3214497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1.3.1总价合同，本合同总价（含税）为：￥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元人民币）。</w:t>
      </w:r>
    </w:p>
    <w:p w14:paraId="42FECE9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E35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71659F">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4C465C">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0A671D">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4F70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5940F6">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F957A">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64FD8F">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52D7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FAB98B">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D54C5E">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797B12">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16EC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BDCB7B">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EA220">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EA9AD">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2300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ED9CEB">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CEBA7">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23967E">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r w14:paraId="6461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4AB39C">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87A447">
            <w:pPr>
              <w:pStyle w:val="321"/>
              <w:kinsoku/>
              <w:overflowPunct/>
              <w:topLinePunct w:val="0"/>
              <w:bidi w:val="0"/>
              <w:spacing w:beforeLines="0" w:afterLines="0" w:line="400" w:lineRule="exact"/>
              <w:ind w:firstLine="480" w:firstLineChars="200"/>
              <w:jc w:val="center"/>
              <w:rPr>
                <w:rFonts w:hint="eastAsia" w:ascii="仿宋" w:hAnsi="仿宋" w:eastAsia="仿宋" w:cs="仿宋"/>
                <w:color w:val="auto"/>
                <w:sz w:val="24"/>
                <w:szCs w:val="24"/>
                <w:highlight w:val="none"/>
              </w:rPr>
            </w:pPr>
          </w:p>
        </w:tc>
      </w:tr>
    </w:tbl>
    <w:p w14:paraId="1419968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bookmarkStart w:id="54" w:name="_Toc30158"/>
      <w:bookmarkStart w:id="55" w:name="_Toc30506"/>
      <w:bookmarkStart w:id="56" w:name="_Toc26916"/>
      <w:bookmarkStart w:id="57" w:name="_Toc14993"/>
      <w:bookmarkStart w:id="58" w:name="_Toc3654"/>
      <w:r>
        <w:rPr>
          <w:rFonts w:hint="eastAsia" w:ascii="仿宋" w:hAnsi="仿宋" w:eastAsia="仿宋" w:cs="仿宋"/>
          <w:color w:val="auto"/>
          <w:sz w:val="24"/>
          <w:szCs w:val="24"/>
          <w:highlight w:val="none"/>
        </w:rPr>
        <w:t>1.3.2单价合同，本合同单价（含税）标准为：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。服务工作量的计量方式为：</w:t>
      </w:r>
      <w:r>
        <w:rPr>
          <w:rFonts w:hint="eastAsia" w:ascii="仿宋" w:hAnsi="仿宋" w:eastAsia="仿宋" w:cs="仿宋"/>
          <w:color w:val="auto"/>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元人民币）。</w:t>
      </w:r>
    </w:p>
    <w:p w14:paraId="05AA7131">
      <w:pPr>
        <w:pStyle w:val="4"/>
        <w:kinsoku/>
        <w:overflowPunct/>
        <w:topLinePunct w:val="0"/>
        <w:bidi w:val="0"/>
        <w:spacing w:beforeLines="0" w:afterLines="0" w:line="400" w:lineRule="exact"/>
        <w:ind w:left="0" w:firstLine="480" w:firstLineChars="200"/>
        <w:rPr>
          <w:rFonts w:hint="eastAsia" w:ascii="仿宋" w:eastAsia="仿宋" w:cs="仿宋"/>
          <w:color w:val="auto"/>
          <w:sz w:val="32"/>
          <w:szCs w:val="32"/>
          <w:highlight w:val="none"/>
          <w:lang w:val="en-US"/>
        </w:rPr>
      </w:pPr>
      <w:r>
        <w:rPr>
          <w:rFonts w:hint="eastAsia" w:ascii="仿宋" w:eastAsia="仿宋" w:cs="仿宋"/>
          <w:b w:val="0"/>
          <w:color w:val="auto"/>
          <w:sz w:val="24"/>
          <w:szCs w:val="32"/>
          <w:highlight w:val="none"/>
          <w:lang w:val="en-US"/>
        </w:rPr>
        <w:t>1.3.3其他计价方式：</w:t>
      </w:r>
      <w:r>
        <w:rPr>
          <w:rFonts w:hint="eastAsia" w:ascii="仿宋" w:eastAsia="仿宋" w:cs="仿宋"/>
          <w:b w:val="0"/>
          <w:color w:val="auto"/>
          <w:sz w:val="24"/>
          <w:szCs w:val="32"/>
          <w:highlight w:val="none"/>
          <w:u w:val="single"/>
          <w:lang w:val="en-US"/>
        </w:rPr>
        <w:t xml:space="preserve">                   </w:t>
      </w:r>
      <w:r>
        <w:rPr>
          <w:rFonts w:hint="eastAsia" w:ascii="仿宋" w:eastAsia="仿宋" w:cs="仿宋"/>
          <w:b w:val="0"/>
          <w:color w:val="auto"/>
          <w:sz w:val="24"/>
          <w:szCs w:val="32"/>
          <w:highlight w:val="none"/>
        </w:rPr>
        <w:t>。</w:t>
      </w:r>
    </w:p>
    <w:bookmarkEnd w:id="54"/>
    <w:bookmarkEnd w:id="55"/>
    <w:bookmarkEnd w:id="56"/>
    <w:bookmarkEnd w:id="57"/>
    <w:bookmarkEnd w:id="58"/>
    <w:p w14:paraId="5B82CF6B">
      <w:pPr>
        <w:pStyle w:val="960"/>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auto"/>
          <w:sz w:val="24"/>
          <w:szCs w:val="24"/>
          <w:highlight w:val="none"/>
        </w:rPr>
      </w:pPr>
      <w:bookmarkStart w:id="59" w:name="_Toc22618"/>
      <w:bookmarkStart w:id="60" w:name="_Toc1814"/>
      <w:bookmarkStart w:id="61" w:name="_Toc10340"/>
      <w:bookmarkStart w:id="62" w:name="_Toc11108"/>
      <w:bookmarkStart w:id="63" w:name="_Toc3625"/>
      <w:bookmarkStart w:id="64" w:name="_Toc4760"/>
      <w:bookmarkStart w:id="65" w:name="_Toc31421"/>
      <w:bookmarkStart w:id="66" w:name="_Toc8772"/>
      <w:r>
        <w:rPr>
          <w:rFonts w:hint="eastAsia" w:ascii="仿宋" w:hAnsi="仿宋" w:eastAsia="仿宋" w:cs="仿宋"/>
          <w:b/>
          <w:color w:val="auto"/>
          <w:sz w:val="24"/>
          <w:szCs w:val="24"/>
          <w:highlight w:val="none"/>
        </w:rPr>
        <w:t>1.4履约保证金</w:t>
      </w:r>
    </w:p>
    <w:p w14:paraId="75600E01">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（是/否）需要支付履约保证金。若需要支付履约保证金的，则：</w:t>
      </w:r>
    </w:p>
    <w:p w14:paraId="51B536E6">
      <w:pPr>
        <w:kinsoku/>
        <w:overflowPunct/>
        <w:topLinePunct w:val="0"/>
        <w:bidi w:val="0"/>
        <w:spacing w:beforeLines="0" w:afterLines="0" w:line="400" w:lineRule="exact"/>
        <w:ind w:firstLine="480" w:firstLineChars="200"/>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1.4.1履约保证金的比例为合同金额的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w:t>
      </w:r>
    </w:p>
    <w:p w14:paraId="5FA93F64">
      <w:pPr>
        <w:kinsoku/>
        <w:overflowPunct/>
        <w:topLinePunct w:val="0"/>
        <w:bidi w:val="0"/>
        <w:spacing w:beforeLines="0" w:afterLines="0" w:line="400" w:lineRule="exact"/>
        <w:ind w:firstLine="480" w:firstLineChars="200"/>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1.4.2履约保证金支付方式详见</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w:t>
      </w:r>
    </w:p>
    <w:p w14:paraId="0688D495">
      <w:pPr>
        <w:pStyle w:val="4"/>
        <w:tabs>
          <w:tab w:val="left" w:pos="0"/>
        </w:tabs>
        <w:kinsoku/>
        <w:overflowPunct/>
        <w:topLinePunct w:val="0"/>
        <w:bidi w:val="0"/>
        <w:spacing w:beforeLines="0" w:afterLines="0" w:line="400" w:lineRule="exact"/>
        <w:ind w:left="0" w:firstLine="480" w:firstLineChars="200"/>
        <w:rPr>
          <w:rFonts w:hint="eastAsia" w:ascii="仿宋" w:eastAsia="仿宋" w:cs="仿宋"/>
          <w:color w:val="auto"/>
          <w:sz w:val="32"/>
          <w:szCs w:val="32"/>
          <w:highlight w:val="none"/>
          <w:lang w:val="en-US"/>
        </w:rPr>
      </w:pPr>
      <w:r>
        <w:rPr>
          <w:rFonts w:hint="eastAsia" w:ascii="仿宋" w:eastAsia="仿宋" w:cs="仿宋"/>
          <w:b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2E1B138F">
      <w:pPr>
        <w:kinsoku/>
        <w:overflowPunct/>
        <w:topLinePunct w:val="0"/>
        <w:bidi w:val="0"/>
        <w:spacing w:beforeLines="0" w:afterLines="0" w:line="400" w:lineRule="exact"/>
        <w:ind w:firstLine="480" w:firstLineChars="200"/>
        <w:outlineLvl w:val="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1.4.4甲方在项目验收结束后及时退还履约保证金。甲方在项目通过验收之日起</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%计算，最高限额为本合同履约保证金的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 xml:space="preserve"> %。</w:t>
      </w:r>
    </w:p>
    <w:p w14:paraId="4715D396">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w:t>
      </w:r>
      <w:bookmarkEnd w:id="59"/>
      <w:bookmarkEnd w:id="60"/>
      <w:bookmarkEnd w:id="61"/>
      <w:r>
        <w:rPr>
          <w:rFonts w:hint="eastAsia" w:ascii="仿宋" w:hAnsi="仿宋" w:eastAsia="仿宋" w:cs="仿宋"/>
          <w:b/>
          <w:color w:val="auto"/>
          <w:sz w:val="24"/>
          <w:szCs w:val="24"/>
          <w:highlight w:val="none"/>
        </w:rPr>
        <w:t>预付款</w:t>
      </w:r>
    </w:p>
    <w:p w14:paraId="542A52D7">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（是/否）需要支付预付款。若需要支付预付款的，则：</w:t>
      </w:r>
    </w:p>
    <w:p w14:paraId="6B0726B0">
      <w:pPr>
        <w:kinsoku/>
        <w:overflowPunct/>
        <w:topLinePunct w:val="0"/>
        <w:bidi w:val="0"/>
        <w:spacing w:beforeLines="0" w:afterLines="0" w:line="40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1.5.1预付款比例、支付方式、时间详见</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w:t>
      </w:r>
    </w:p>
    <w:p w14:paraId="7FC5AFFF">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1.5.2预付款的扣回方式详见</w:t>
      </w:r>
      <w:r>
        <w:rPr>
          <w:rFonts w:hint="eastAsia" w:ascii="仿宋" w:hAnsi="仿宋" w:eastAsia="仿宋" w:cs="仿宋"/>
          <w:color w:val="auto"/>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72A025C">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1.5.3预付款的担保措施详见</w:t>
      </w:r>
      <w:r>
        <w:rPr>
          <w:rFonts w:hint="eastAsia" w:ascii="仿宋" w:hAnsi="仿宋" w:eastAsia="仿宋" w:cs="仿宋"/>
          <w:color w:val="auto"/>
          <w:sz w:val="24"/>
          <w:szCs w:val="24"/>
          <w:highlight w:val="none"/>
          <w:u w:val="single"/>
        </w:rPr>
        <w:t xml:space="preserve">    </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1E52E247">
      <w:pPr>
        <w:pStyle w:val="960"/>
        <w:kinsoku/>
        <w:overflowPunct/>
        <w:topLinePunct w:val="0"/>
        <w:bidi w:val="0"/>
        <w:spacing w:before="0" w:beforeLines="0" w:beforeAutospacing="0" w:after="0" w:afterLines="0" w:afterAutospacing="0" w:line="40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1.6资金支付</w:t>
      </w:r>
    </w:p>
    <w:p w14:paraId="3C24E108">
      <w:pPr>
        <w:pStyle w:val="960"/>
        <w:kinsoku/>
        <w:overflowPunct/>
        <w:topLinePunct w:val="0"/>
        <w:bidi w:val="0"/>
        <w:spacing w:before="0" w:beforeLines="0" w:beforeAutospacing="0" w:after="0" w:afterLines="0" w:afterAutospacing="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3B526D7E">
      <w:pPr>
        <w:kinsoku/>
        <w:overflowPunct/>
        <w:topLinePunct w:val="0"/>
        <w:bidi w:val="0"/>
        <w:spacing w:beforeLines="0" w:afterLines="0" w:line="400" w:lineRule="exact"/>
        <w:ind w:firstLine="480" w:firstLineChars="200"/>
        <w:outlineLvl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1.6.2资金支付的方式、时间和条件详见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6D888429">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1.7 履行期限、地点和方式</w:t>
      </w:r>
      <w:bookmarkEnd w:id="62"/>
      <w:bookmarkEnd w:id="63"/>
      <w:bookmarkEnd w:id="64"/>
      <w:bookmarkEnd w:id="65"/>
      <w:bookmarkEnd w:id="66"/>
    </w:p>
    <w:p w14:paraId="69304E2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1.7.1 服务交付（实施）的时间（期限）：</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59162417">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1.7.2 服务交付（实施）的地点（地域范围）：</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7617BBE8">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1.7.3 服务交付（实施）的方式：</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61F443F5">
      <w:pPr>
        <w:kinsoku/>
        <w:overflowPunct/>
        <w:topLinePunct w:val="0"/>
        <w:bidi w:val="0"/>
        <w:spacing w:beforeLines="0" w:afterLines="0" w:line="400" w:lineRule="exact"/>
        <w:ind w:firstLine="480" w:firstLineChars="200"/>
        <w:outlineLvl w:val="0"/>
        <w:rPr>
          <w:rFonts w:hint="eastAsia" w:ascii="仿宋" w:hAnsi="仿宋" w:eastAsia="仿宋" w:cs="仿宋"/>
          <w:color w:val="auto"/>
          <w:sz w:val="24"/>
          <w:szCs w:val="24"/>
          <w:highlight w:val="none"/>
        </w:rPr>
      </w:pPr>
      <w:bookmarkStart w:id="67" w:name="_Toc24662"/>
      <w:bookmarkStart w:id="68" w:name="_Toc8586"/>
      <w:bookmarkStart w:id="69" w:name="_Toc3079"/>
      <w:bookmarkStart w:id="70" w:name="_Toc5698"/>
      <w:bookmarkStart w:id="71" w:name="_Toc2375"/>
      <w:r>
        <w:rPr>
          <w:rFonts w:hint="eastAsia" w:ascii="仿宋" w:hAnsi="仿宋" w:eastAsia="仿宋" w:cs="仿宋"/>
          <w:color w:val="auto"/>
          <w:sz w:val="24"/>
          <w:szCs w:val="24"/>
          <w:highlight w:val="none"/>
        </w:rPr>
        <w:t>1.7.4若服务涉及货物的，则货物的：</w:t>
      </w:r>
    </w:p>
    <w:p w14:paraId="0ABD13D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1.7.4.1 交付期限：详见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5AE8562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1.7.4.2 交付地点：</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1910DA0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1.7.4.3 交付方式：</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366DED10">
      <w:pPr>
        <w:kinsoku/>
        <w:overflowPunct/>
        <w:topLinePunct w:val="0"/>
        <w:bidi w:val="0"/>
        <w:spacing w:beforeLines="0" w:afterLines="0" w:line="400" w:lineRule="exact"/>
        <w:ind w:firstLine="482" w:firstLineChars="200"/>
        <w:outlineLvl w:val="0"/>
        <w:rPr>
          <w:rFonts w:hint="eastAsia" w:ascii="仿宋" w:hAnsi="仿宋" w:eastAsia="仿宋" w:cs="仿宋"/>
          <w:color w:val="auto"/>
          <w:sz w:val="24"/>
          <w:szCs w:val="24"/>
          <w:highlight w:val="none"/>
          <w:u w:val="single"/>
        </w:rPr>
      </w:pPr>
      <w:r>
        <w:rPr>
          <w:rFonts w:hint="eastAsia" w:ascii="仿宋" w:hAnsi="仿宋" w:eastAsia="仿宋" w:cs="仿宋"/>
          <w:b/>
          <w:color w:val="auto"/>
          <w:sz w:val="24"/>
          <w:szCs w:val="24"/>
          <w:highlight w:val="none"/>
        </w:rPr>
        <w:t>1.8违约责任</w:t>
      </w:r>
      <w:bookmarkEnd w:id="67"/>
      <w:bookmarkEnd w:id="68"/>
      <w:bookmarkEnd w:id="69"/>
      <w:bookmarkEnd w:id="70"/>
      <w:bookmarkEnd w:id="71"/>
    </w:p>
    <w:p w14:paraId="71C28A5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%计算，最高限额为本合同总价的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%；迟延履行的违约金计算数额达到前述最高限额之日起，甲方有权在要求乙方支付违约金的同时，书面通知乙方解除本合同；</w:t>
      </w:r>
    </w:p>
    <w:p w14:paraId="176B2190">
      <w:pPr>
        <w:pStyle w:val="4"/>
        <w:kinsoku/>
        <w:overflowPunct/>
        <w:topLinePunct w:val="0"/>
        <w:bidi w:val="0"/>
        <w:spacing w:beforeLines="0" w:afterLines="0" w:line="400" w:lineRule="exact"/>
        <w:ind w:left="0" w:firstLine="480" w:firstLineChars="200"/>
        <w:rPr>
          <w:rFonts w:hint="eastAsia" w:ascii="仿宋" w:eastAsia="仿宋" w:cs="仿宋"/>
          <w:b w:val="0"/>
          <w:color w:val="auto"/>
          <w:sz w:val="24"/>
          <w:szCs w:val="24"/>
          <w:highlight w:val="none"/>
          <w:lang w:val="en-US"/>
        </w:rPr>
      </w:pPr>
      <w:r>
        <w:rPr>
          <w:rFonts w:hint="eastAsia" w:ascii="仿宋" w:eastAsia="仿宋" w:cs="仿宋"/>
          <w:b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color w:val="auto"/>
          <w:sz w:val="24"/>
          <w:szCs w:val="24"/>
          <w:highlight w:val="none"/>
          <w:u w:val="single"/>
          <w:lang w:val="en-US"/>
        </w:rPr>
        <w:t xml:space="preserve">       </w:t>
      </w:r>
      <w:r>
        <w:rPr>
          <w:rFonts w:hint="eastAsia" w:ascii="仿宋" w:eastAsia="仿宋" w:cs="仿宋"/>
          <w:b w:val="0"/>
          <w:color w:val="auto"/>
          <w:sz w:val="24"/>
          <w:szCs w:val="24"/>
          <w:highlight w:val="none"/>
          <w:lang w:val="en-US"/>
        </w:rPr>
        <w:t>%计算，最高限额为本合同总价的</w:t>
      </w:r>
      <w:r>
        <w:rPr>
          <w:rFonts w:hint="eastAsia" w:ascii="仿宋" w:eastAsia="仿宋" w:cs="仿宋"/>
          <w:b w:val="0"/>
          <w:color w:val="auto"/>
          <w:sz w:val="24"/>
          <w:szCs w:val="24"/>
          <w:highlight w:val="none"/>
          <w:u w:val="single"/>
          <w:lang w:val="en-US"/>
        </w:rPr>
        <w:t xml:space="preserve">     </w:t>
      </w:r>
      <w:r>
        <w:rPr>
          <w:rFonts w:hint="eastAsia" w:ascii="仿宋" w:eastAsia="仿宋" w:cs="仿宋"/>
          <w:b w:val="0"/>
          <w:color w:val="auto"/>
          <w:sz w:val="24"/>
          <w:szCs w:val="24"/>
          <w:highlight w:val="none"/>
          <w:lang w:val="en-US"/>
        </w:rPr>
        <w:t>%；迟延交付货物的违约金计算数额达到前述最高限额之日起，甲方有权在要求乙方支付违约金的同时，书面通知乙方解除本合同；</w:t>
      </w:r>
    </w:p>
    <w:p w14:paraId="62A5D78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%计算，最高限额为本合同总价的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%；迟延付款的违约金计算数额达到前述最高限额之日起，乙方有权在要求甲方支付违约金的同时，书面通知甲方解除本合同；</w:t>
      </w:r>
    </w:p>
    <w:p w14:paraId="29D3759E">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bookmarkStart w:id="72" w:name="_Toc30329"/>
      <w:bookmarkStart w:id="73" w:name="_Toc9497"/>
      <w:bookmarkStart w:id="74" w:name="_Toc26807"/>
      <w:bookmarkStart w:id="75" w:name="_Toc32454"/>
      <w:bookmarkStart w:id="76" w:name="_Toc18683"/>
      <w:r>
        <w:rPr>
          <w:rFonts w:hint="eastAsia" w:ascii="仿宋" w:hAnsi="仿宋" w:eastAsia="仿宋" w:cs="仿宋"/>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EF297C">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1ECFA84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4D62CA6">
      <w:pPr>
        <w:kinsoku/>
        <w:overflowPunct/>
        <w:topLinePunct w:val="0"/>
        <w:bidi w:val="0"/>
        <w:spacing w:beforeLines="0" w:afterLines="0" w:line="400" w:lineRule="exact"/>
        <w:ind w:firstLine="480" w:firstLineChars="200"/>
        <w:rPr>
          <w:rFonts w:hint="eastAsia" w:ascii="仿宋" w:hAnsi="仿宋" w:eastAsia="仿宋" w:cs="仿宋"/>
          <w:color w:val="auto"/>
          <w:sz w:val="21"/>
          <w:szCs w:val="24"/>
          <w:highlight w:val="none"/>
        </w:rPr>
      </w:pPr>
      <w:r>
        <w:rPr>
          <w:rFonts w:hint="eastAsia" w:ascii="仿宋" w:hAnsi="仿宋" w:eastAsia="仿宋" w:cs="仿宋"/>
          <w:color w:val="auto"/>
          <w:sz w:val="24"/>
          <w:szCs w:val="24"/>
          <w:highlight w:val="none"/>
        </w:rPr>
        <w:t>1.8.7违约责任</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另有约定的，从其约定。</w:t>
      </w:r>
    </w:p>
    <w:bookmarkEnd w:id="72"/>
    <w:bookmarkEnd w:id="73"/>
    <w:bookmarkEnd w:id="74"/>
    <w:bookmarkEnd w:id="75"/>
    <w:bookmarkEnd w:id="76"/>
    <w:p w14:paraId="6283F882">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77" w:name="_Toc15583"/>
      <w:bookmarkStart w:id="78" w:name="_Toc28375"/>
      <w:bookmarkStart w:id="79" w:name="_Toc16021"/>
      <w:r>
        <w:rPr>
          <w:rFonts w:hint="eastAsia" w:ascii="仿宋" w:hAnsi="仿宋" w:eastAsia="仿宋" w:cs="仿宋"/>
          <w:b/>
          <w:color w:val="auto"/>
          <w:sz w:val="24"/>
          <w:szCs w:val="24"/>
          <w:highlight w:val="none"/>
        </w:rPr>
        <w:t>1.9合同争议的解决</w:t>
      </w:r>
      <w:bookmarkEnd w:id="77"/>
      <w:bookmarkEnd w:id="78"/>
      <w:bookmarkEnd w:id="79"/>
    </w:p>
    <w:p w14:paraId="48EA64D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本合同履行过程中发生的任何争议，双方当事人均可通过和解或者调解解决；不愿和解、调解或者和解、调解不成的，将争议提交绍兴仲裁委员会仲裁。</w:t>
      </w:r>
    </w:p>
    <w:p w14:paraId="21CB4FC3">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80" w:name="_Toc11173"/>
      <w:bookmarkStart w:id="81" w:name="_Toc7245"/>
      <w:bookmarkStart w:id="82" w:name="_Toc15322"/>
      <w:r>
        <w:rPr>
          <w:rFonts w:hint="eastAsia" w:ascii="仿宋" w:hAnsi="仿宋" w:eastAsia="仿宋" w:cs="仿宋"/>
          <w:b/>
          <w:color w:val="auto"/>
          <w:sz w:val="24"/>
          <w:szCs w:val="24"/>
          <w:highlight w:val="none"/>
        </w:rPr>
        <w:t>2.0 合同生效</w:t>
      </w:r>
      <w:bookmarkEnd w:id="80"/>
      <w:bookmarkEnd w:id="81"/>
      <w:bookmarkEnd w:id="82"/>
    </w:p>
    <w:p w14:paraId="640267C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本合同自双方当事人盖章签字时生效。</w:t>
      </w:r>
    </w:p>
    <w:p w14:paraId="03586285">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lang w:val="zh-CN"/>
        </w:rPr>
        <w:t>甲方</w:t>
      </w:r>
      <w:r>
        <w:rPr>
          <w:rFonts w:hint="eastAsia" w:ascii="仿宋" w:hAnsi="仿宋" w:eastAsia="仿宋" w:cs="仿宋"/>
          <w:color w:val="auto"/>
          <w:sz w:val="24"/>
          <w:szCs w:val="24"/>
          <w:highlight w:val="none"/>
          <w:lang w:val="zh-CN"/>
        </w:rPr>
        <w:t xml:space="preserve">：                             </w:t>
      </w:r>
      <w:r>
        <w:rPr>
          <w:rFonts w:hint="eastAsia" w:ascii="仿宋" w:hAnsi="仿宋" w:eastAsia="仿宋" w:cs="仿宋"/>
          <w:b/>
          <w:color w:val="auto"/>
          <w:sz w:val="24"/>
          <w:szCs w:val="24"/>
          <w:highlight w:val="none"/>
          <w:lang w:val="zh-CN"/>
        </w:rPr>
        <w:t xml:space="preserve">      乙方</w:t>
      </w:r>
      <w:r>
        <w:rPr>
          <w:rFonts w:hint="eastAsia" w:ascii="仿宋" w:hAnsi="仿宋" w:eastAsia="仿宋" w:cs="仿宋"/>
          <w:color w:val="auto"/>
          <w:sz w:val="24"/>
          <w:szCs w:val="24"/>
          <w:highlight w:val="none"/>
          <w:lang w:val="zh-CN"/>
        </w:rPr>
        <w:t>：</w:t>
      </w:r>
    </w:p>
    <w:p w14:paraId="2DBAB96B">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统一社会信用代码：                       统一社会信用代码或身份证号码：</w:t>
      </w:r>
    </w:p>
    <w:p w14:paraId="5F3C5C9E">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住所：                                   住所：</w:t>
      </w:r>
    </w:p>
    <w:p w14:paraId="3C5A6EB5">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                             法定代表人或</w:t>
      </w:r>
    </w:p>
    <w:p w14:paraId="65B5E5F2">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授权代表（签字）：                       授权代表（签字）: </w:t>
      </w:r>
    </w:p>
    <w:p w14:paraId="10231233">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联系人：                                 联系人：</w:t>
      </w:r>
    </w:p>
    <w:p w14:paraId="02E33BA2">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约定送达地址：                           约定送达地址：</w:t>
      </w:r>
    </w:p>
    <w:p w14:paraId="5E9DE387">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邮政编码：                               邮政编码：</w:t>
      </w:r>
    </w:p>
    <w:p w14:paraId="5387453B">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电话:                                    电话: </w:t>
      </w:r>
    </w:p>
    <w:p w14:paraId="224D3190">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传真:                                    传真:</w:t>
      </w:r>
    </w:p>
    <w:p w14:paraId="6184382C">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电子邮箱：                               电子邮箱：</w:t>
      </w:r>
    </w:p>
    <w:p w14:paraId="654140EE">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开户银行：                               开户银行： </w:t>
      </w:r>
    </w:p>
    <w:p w14:paraId="62F26D1F">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开户名称：                               开户名称： </w:t>
      </w:r>
    </w:p>
    <w:p w14:paraId="26A3BFE2">
      <w:pPr>
        <w:kinsoku/>
        <w:overflowPunct/>
        <w:topLinePunct w:val="0"/>
        <w:autoSpaceDE w:val="0"/>
        <w:autoSpaceDN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开户账号：</w:t>
      </w:r>
      <w:r>
        <w:rPr>
          <w:rFonts w:hint="eastAsia" w:ascii="仿宋" w:hAnsi="仿宋" w:eastAsia="仿宋" w:cs="仿宋"/>
          <w:color w:val="auto"/>
          <w:sz w:val="24"/>
          <w:szCs w:val="24"/>
          <w:highlight w:val="none"/>
          <w:lang w:val="zh-CN"/>
        </w:rPr>
        <w:t xml:space="preserve">                               </w:t>
      </w:r>
      <w:r>
        <w:rPr>
          <w:rFonts w:hint="eastAsia" w:ascii="仿宋" w:hAnsi="仿宋" w:eastAsia="仿宋" w:cs="仿宋"/>
          <w:color w:val="auto"/>
          <w:sz w:val="24"/>
          <w:szCs w:val="24"/>
          <w:highlight w:val="none"/>
        </w:rPr>
        <w:t>开户账号：</w:t>
      </w:r>
    </w:p>
    <w:p w14:paraId="6E6068B1">
      <w:pPr>
        <w:widowControl/>
        <w:kinsoku/>
        <w:overflowPunct/>
        <w:topLinePunct w:val="0"/>
        <w:bidi w:val="0"/>
        <w:adjustRightInd/>
        <w:spacing w:beforeLines="0" w:afterLines="0" w:line="400"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1"/>
          <w:szCs w:val="24"/>
          <w:highlight w:val="none"/>
        </w:rPr>
        <w:br w:type="page"/>
      </w:r>
    </w:p>
    <w:p w14:paraId="17B71325">
      <w:pPr>
        <w:pStyle w:val="703"/>
        <w:kinsoku/>
        <w:overflowPunct/>
        <w:topLinePunct w:val="0"/>
        <w:bidi w:val="0"/>
        <w:spacing w:beforeLines="0" w:afterLines="0" w:line="400" w:lineRule="exact"/>
        <w:ind w:firstLine="482"/>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第二部分 合同一般条款</w:t>
      </w:r>
    </w:p>
    <w:p w14:paraId="4F3921FB">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83" w:name="_Toc5228"/>
      <w:bookmarkStart w:id="84" w:name="_Toc25079"/>
      <w:bookmarkStart w:id="85" w:name="_Toc31297"/>
      <w:bookmarkStart w:id="86" w:name="_Toc14021"/>
      <w:bookmarkStart w:id="87" w:name="_Toc19680"/>
      <w:r>
        <w:rPr>
          <w:rFonts w:hint="eastAsia" w:ascii="仿宋" w:hAnsi="仿宋" w:eastAsia="仿宋" w:cs="仿宋"/>
          <w:b/>
          <w:color w:val="auto"/>
          <w:sz w:val="24"/>
          <w:szCs w:val="24"/>
          <w:highlight w:val="none"/>
        </w:rPr>
        <w:t>2.1 定义</w:t>
      </w:r>
      <w:bookmarkEnd w:id="83"/>
      <w:bookmarkEnd w:id="84"/>
      <w:bookmarkEnd w:id="85"/>
      <w:bookmarkEnd w:id="86"/>
      <w:bookmarkEnd w:id="87"/>
    </w:p>
    <w:p w14:paraId="7AF765C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本合同中的下列词语应按以下内容进行解释：</w:t>
      </w:r>
    </w:p>
    <w:p w14:paraId="38171F1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 “合同”系指采购人和中标或成交供应商签订的载明双方当事人所达成的协议，并包括所有的附件、附录和构成合同的其他文件。</w:t>
      </w:r>
    </w:p>
    <w:p w14:paraId="250FF706">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 “合同价”系指根据合同约定，中标或成交供应商在完全履行合同义务后，采购人应支付给中标或成交供应商的价格。</w:t>
      </w:r>
    </w:p>
    <w:p w14:paraId="2188CB3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 “服务”系指中标或成交供应商根据合同约定应向采购人履行的除货物和工程以外的其他政府采购对象，包括采购人自身需要的服务和向社会公众提供的公共服务。</w:t>
      </w:r>
    </w:p>
    <w:p w14:paraId="68D46C9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 “甲方”系指与中标或成交供应商签署合同的采购人；采购人委托采购代理机构代表其与乙方签订合同的，采购人的授权委托书作为合同附件。</w:t>
      </w:r>
    </w:p>
    <w:p w14:paraId="2A68A1B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84CABA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2.1.6 “现场”系指合同约定提供服务的地点。</w:t>
      </w:r>
    </w:p>
    <w:p w14:paraId="530A89BA">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88" w:name="_Toc19539"/>
      <w:bookmarkStart w:id="89" w:name="_Toc23289"/>
      <w:bookmarkStart w:id="90" w:name="_Toc16752"/>
      <w:bookmarkStart w:id="91" w:name="_Toc3769"/>
      <w:bookmarkStart w:id="92" w:name="_Toc31402"/>
      <w:r>
        <w:rPr>
          <w:rFonts w:hint="eastAsia" w:ascii="仿宋" w:hAnsi="仿宋" w:eastAsia="仿宋" w:cs="仿宋"/>
          <w:b/>
          <w:color w:val="auto"/>
          <w:sz w:val="24"/>
          <w:szCs w:val="24"/>
          <w:highlight w:val="none"/>
        </w:rPr>
        <w:t>2.2 技术规范</w:t>
      </w:r>
      <w:bookmarkEnd w:id="88"/>
      <w:bookmarkEnd w:id="89"/>
      <w:bookmarkEnd w:id="90"/>
      <w:bookmarkEnd w:id="91"/>
      <w:bookmarkEnd w:id="92"/>
    </w:p>
    <w:p w14:paraId="3278B4D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F218238">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93" w:name="_Toc13673"/>
      <w:bookmarkStart w:id="94" w:name="_Toc4133"/>
      <w:bookmarkStart w:id="95" w:name="_Toc12412"/>
      <w:bookmarkStart w:id="96" w:name="_Toc27945"/>
      <w:bookmarkStart w:id="97" w:name="_Toc9161"/>
      <w:r>
        <w:rPr>
          <w:rFonts w:hint="eastAsia" w:ascii="仿宋" w:hAnsi="仿宋" w:eastAsia="仿宋" w:cs="仿宋"/>
          <w:b/>
          <w:color w:val="auto"/>
          <w:sz w:val="24"/>
          <w:szCs w:val="24"/>
          <w:highlight w:val="none"/>
        </w:rPr>
        <w:t>2.3 知识产权</w:t>
      </w:r>
      <w:bookmarkEnd w:id="93"/>
      <w:bookmarkEnd w:id="94"/>
      <w:bookmarkEnd w:id="95"/>
      <w:bookmarkEnd w:id="96"/>
      <w:bookmarkEnd w:id="97"/>
    </w:p>
    <w:p w14:paraId="42F1F8A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3B2C44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 合同涉及技术成果的归属和收益的分成办法的，详见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18569EF3">
      <w:pPr>
        <w:kinsoku/>
        <w:overflowPunct/>
        <w:topLinePunct w:val="0"/>
        <w:bidi w:val="0"/>
        <w:spacing w:beforeLines="0" w:afterLines="0" w:line="40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2.4 履约检查和问题反馈</w:t>
      </w:r>
    </w:p>
    <w:p w14:paraId="028978E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C29B22">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2.4.2 合同履行期间，甲方有权将履行过程中出现的问题反馈给乙方，双方当事人应以书面形式约定需要完善和改进的内容。</w:t>
      </w:r>
    </w:p>
    <w:p w14:paraId="3B7226A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98" w:name="_Toc15447"/>
      <w:bookmarkStart w:id="99" w:name="_Toc31233"/>
      <w:bookmarkStart w:id="100" w:name="_Toc26555"/>
      <w:bookmarkStart w:id="101" w:name="_Toc22011"/>
      <w:bookmarkStart w:id="102" w:name="_Toc32670"/>
      <w:r>
        <w:rPr>
          <w:rFonts w:hint="eastAsia" w:ascii="仿宋" w:hAnsi="仿宋" w:eastAsia="仿宋" w:cs="仿宋"/>
          <w:b/>
          <w:color w:val="auto"/>
          <w:sz w:val="24"/>
          <w:szCs w:val="24"/>
          <w:highlight w:val="none"/>
        </w:rPr>
        <w:t>2.5 结算方式和付款条件</w:t>
      </w:r>
      <w:bookmarkEnd w:id="98"/>
      <w:bookmarkEnd w:id="99"/>
      <w:bookmarkEnd w:id="100"/>
      <w:bookmarkEnd w:id="101"/>
      <w:bookmarkEnd w:id="102"/>
    </w:p>
    <w:p w14:paraId="6EF622A9">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w:t>
      </w:r>
    </w:p>
    <w:p w14:paraId="56E8758E">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03" w:name="_Toc18990"/>
      <w:bookmarkStart w:id="104" w:name="_Toc16163"/>
      <w:bookmarkStart w:id="105" w:name="_Toc30507"/>
      <w:bookmarkStart w:id="106" w:name="_Toc13467"/>
      <w:bookmarkStart w:id="107" w:name="_Toc13154"/>
      <w:r>
        <w:rPr>
          <w:rFonts w:hint="eastAsia" w:ascii="仿宋" w:hAnsi="仿宋" w:eastAsia="仿宋" w:cs="仿宋"/>
          <w:b/>
          <w:color w:val="auto"/>
          <w:sz w:val="24"/>
          <w:szCs w:val="24"/>
          <w:highlight w:val="none"/>
        </w:rPr>
        <w:t>2.6 技术资料和保密义务</w:t>
      </w:r>
      <w:bookmarkEnd w:id="103"/>
      <w:bookmarkEnd w:id="104"/>
      <w:bookmarkEnd w:id="105"/>
      <w:bookmarkEnd w:id="106"/>
      <w:bookmarkEnd w:id="107"/>
    </w:p>
    <w:p w14:paraId="3F04CB23">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2.6.1 乙方有权依据合同约定和项目需要，向甲方了解有关情况，调阅有关资料等，甲方应予积极配合；</w:t>
      </w:r>
    </w:p>
    <w:p w14:paraId="435AF415">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2.6.2 乙方有义务妥善保管和保护由甲方提供的前款信息和资料等；</w:t>
      </w:r>
    </w:p>
    <w:p w14:paraId="361C8D9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9D49AB8">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08" w:name="_Toc19069"/>
      <w:r>
        <w:rPr>
          <w:rFonts w:hint="eastAsia" w:ascii="仿宋" w:hAnsi="仿宋" w:eastAsia="仿宋" w:cs="仿宋"/>
          <w:b/>
          <w:color w:val="auto"/>
          <w:sz w:val="24"/>
          <w:szCs w:val="24"/>
          <w:highlight w:val="none"/>
        </w:rPr>
        <w:t>2.7 质量保证</w:t>
      </w:r>
      <w:bookmarkEnd w:id="108"/>
    </w:p>
    <w:p w14:paraId="7205EA2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2.7.1 乙方应建立和完善履行合同的内部质量保证体系，并提供相关内部规章制度给甲方，以便甲方进行监督检查；</w:t>
      </w:r>
    </w:p>
    <w:p w14:paraId="377BD468">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2.7.2 乙方应保证履行合同的人员数量和素质、软件和硬件设备的配置、场地、环境和设施等满足全面履行合同的要求，并应接受甲方的监督检查。</w:t>
      </w:r>
    </w:p>
    <w:p w14:paraId="7D2B9676">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09" w:name="_Toc22267"/>
      <w:r>
        <w:rPr>
          <w:rFonts w:hint="eastAsia" w:ascii="仿宋" w:hAnsi="仿宋" w:eastAsia="仿宋" w:cs="仿宋"/>
          <w:b/>
          <w:color w:val="auto"/>
          <w:sz w:val="24"/>
          <w:szCs w:val="24"/>
          <w:highlight w:val="none"/>
        </w:rPr>
        <w:t>2.8 延迟履行</w:t>
      </w:r>
      <w:bookmarkEnd w:id="109"/>
    </w:p>
    <w:p w14:paraId="77B2A461">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67EB2318">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10" w:name="_Toc10611"/>
      <w:r>
        <w:rPr>
          <w:rFonts w:hint="eastAsia" w:ascii="仿宋" w:hAnsi="仿宋" w:eastAsia="仿宋" w:cs="仿宋"/>
          <w:b/>
          <w:color w:val="auto"/>
          <w:sz w:val="24"/>
          <w:szCs w:val="24"/>
          <w:highlight w:val="none"/>
        </w:rPr>
        <w:t>2.9 合同变更</w:t>
      </w:r>
      <w:bookmarkEnd w:id="110"/>
    </w:p>
    <w:p w14:paraId="75B8FCA8">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5BF072B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11" w:name="_Toc42"/>
      <w:bookmarkStart w:id="112" w:name="_Toc26689"/>
      <w:bookmarkStart w:id="113" w:name="_Toc23368"/>
      <w:bookmarkStart w:id="114" w:name="_Toc10663"/>
      <w:bookmarkStart w:id="115" w:name="_Toc21830"/>
      <w:r>
        <w:rPr>
          <w:rFonts w:hint="eastAsia" w:ascii="仿宋" w:hAnsi="仿宋" w:eastAsia="仿宋" w:cs="仿宋"/>
          <w:b/>
          <w:color w:val="auto"/>
          <w:sz w:val="24"/>
          <w:szCs w:val="24"/>
          <w:highlight w:val="none"/>
        </w:rPr>
        <w:t>2.10 合同转让和分包</w:t>
      </w:r>
      <w:bookmarkEnd w:id="111"/>
      <w:bookmarkEnd w:id="112"/>
      <w:bookmarkEnd w:id="113"/>
      <w:bookmarkEnd w:id="114"/>
      <w:bookmarkEnd w:id="115"/>
    </w:p>
    <w:p w14:paraId="50C95E74">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8D0C775">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16" w:name="_Toc25571"/>
      <w:bookmarkStart w:id="117" w:name="_Toc14371"/>
      <w:bookmarkStart w:id="118" w:name="_Toc26633"/>
      <w:bookmarkStart w:id="119" w:name="_Toc32494"/>
      <w:bookmarkStart w:id="120" w:name="_Toc4720"/>
      <w:r>
        <w:rPr>
          <w:rFonts w:hint="eastAsia" w:ascii="仿宋" w:hAnsi="仿宋" w:eastAsia="仿宋" w:cs="仿宋"/>
          <w:b/>
          <w:color w:val="auto"/>
          <w:sz w:val="24"/>
          <w:szCs w:val="24"/>
          <w:highlight w:val="none"/>
        </w:rPr>
        <w:t>2.11 不可抗力</w:t>
      </w:r>
      <w:bookmarkEnd w:id="116"/>
      <w:bookmarkEnd w:id="117"/>
      <w:bookmarkEnd w:id="118"/>
      <w:bookmarkEnd w:id="119"/>
      <w:bookmarkEnd w:id="120"/>
    </w:p>
    <w:p w14:paraId="1DB3A51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2.11.1如果任何一方遭遇法律规定的不可抗力，致使合同履行受阻时，履行合同的期限应予延长，延长的期限应相当于不可抗力所影响的时间；</w:t>
      </w:r>
    </w:p>
    <w:p w14:paraId="3EE081F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2.11.2 因不可抗力致使不能实现合同目的的，当事人可以解除合同；</w:t>
      </w:r>
    </w:p>
    <w:p w14:paraId="67B0C96F">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2.11.3 因不可抗力致使合同有变更必要的，双方当事人应在</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约定时间内以书面形式变更合同；</w:t>
      </w:r>
    </w:p>
    <w:p w14:paraId="08438FF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2.11.4受不可抗力影响的一方在不可抗力发生后，应在</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约定时间内以书面形式通知对方当事人，并在</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约定时间内，将有关部门出具的证明文件送达对方当事人。</w:t>
      </w:r>
    </w:p>
    <w:p w14:paraId="7649FAF1">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21" w:name="_Toc3638"/>
      <w:bookmarkStart w:id="122" w:name="_Toc14115"/>
      <w:bookmarkStart w:id="123" w:name="_Toc24465"/>
      <w:bookmarkStart w:id="124" w:name="_Toc25783"/>
      <w:bookmarkStart w:id="125" w:name="_Toc23854"/>
      <w:r>
        <w:rPr>
          <w:rFonts w:hint="eastAsia" w:ascii="仿宋" w:hAnsi="仿宋" w:eastAsia="仿宋" w:cs="仿宋"/>
          <w:b/>
          <w:color w:val="auto"/>
          <w:sz w:val="24"/>
          <w:szCs w:val="24"/>
          <w:highlight w:val="none"/>
        </w:rPr>
        <w:t>2.12 税费</w:t>
      </w:r>
      <w:bookmarkEnd w:id="121"/>
      <w:bookmarkEnd w:id="122"/>
      <w:bookmarkEnd w:id="123"/>
      <w:bookmarkEnd w:id="124"/>
      <w:bookmarkEnd w:id="125"/>
    </w:p>
    <w:p w14:paraId="3FE055F6">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与合同有关的一切税费，均按照中华人民共和国法律的相关规定缴纳。</w:t>
      </w:r>
    </w:p>
    <w:p w14:paraId="378A546F">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26" w:name="_Toc30105"/>
      <w:bookmarkStart w:id="127" w:name="_Toc26883"/>
      <w:bookmarkStart w:id="128" w:name="_Toc25525"/>
      <w:bookmarkStart w:id="129" w:name="_Toc7315"/>
      <w:bookmarkStart w:id="130" w:name="_Toc14814"/>
      <w:r>
        <w:rPr>
          <w:rFonts w:hint="eastAsia" w:ascii="仿宋" w:hAnsi="仿宋" w:eastAsia="仿宋" w:cs="仿宋"/>
          <w:b/>
          <w:color w:val="auto"/>
          <w:sz w:val="24"/>
          <w:szCs w:val="24"/>
          <w:highlight w:val="none"/>
        </w:rPr>
        <w:t>2.13 乙方破产</w:t>
      </w:r>
      <w:bookmarkEnd w:id="126"/>
      <w:bookmarkEnd w:id="127"/>
      <w:bookmarkEnd w:id="128"/>
      <w:bookmarkEnd w:id="129"/>
      <w:bookmarkEnd w:id="130"/>
    </w:p>
    <w:p w14:paraId="0BE77DF7">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D2B3233">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31" w:name="_Toc23323"/>
      <w:bookmarkStart w:id="132" w:name="_Toc1123"/>
      <w:bookmarkStart w:id="133" w:name="_Toc2016"/>
      <w:r>
        <w:rPr>
          <w:rFonts w:hint="eastAsia" w:ascii="仿宋" w:hAnsi="仿宋" w:eastAsia="仿宋" w:cs="仿宋"/>
          <w:b/>
          <w:color w:val="auto"/>
          <w:sz w:val="24"/>
          <w:szCs w:val="24"/>
          <w:highlight w:val="none"/>
        </w:rPr>
        <w:t>2.14 合同中止、终止</w:t>
      </w:r>
      <w:bookmarkEnd w:id="131"/>
      <w:bookmarkEnd w:id="132"/>
      <w:bookmarkEnd w:id="133"/>
    </w:p>
    <w:p w14:paraId="0EF35FD7">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2.14.1 双方当事人不得擅自中止或者终止合同；</w:t>
      </w:r>
    </w:p>
    <w:p w14:paraId="19D0357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B42743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34" w:name="_Toc14525"/>
      <w:bookmarkStart w:id="135" w:name="_Toc1969"/>
      <w:bookmarkStart w:id="136" w:name="_Toc17363"/>
      <w:r>
        <w:rPr>
          <w:rFonts w:hint="eastAsia" w:ascii="仿宋" w:hAnsi="仿宋" w:eastAsia="仿宋" w:cs="仿宋"/>
          <w:b/>
          <w:color w:val="auto"/>
          <w:sz w:val="24"/>
          <w:szCs w:val="24"/>
          <w:highlight w:val="none"/>
        </w:rPr>
        <w:t>2.15 检验和验收</w:t>
      </w:r>
      <w:bookmarkEnd w:id="134"/>
      <w:bookmarkEnd w:id="135"/>
      <w:bookmarkEnd w:id="136"/>
    </w:p>
    <w:p w14:paraId="3EC138AA">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2.15.1 乙方按照</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的约定，定期提交服务报告，甲方按照</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的约定进行定期验收；</w:t>
      </w:r>
    </w:p>
    <w:p w14:paraId="5BDDE880">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F7D5ACF">
      <w:pPr>
        <w:tabs>
          <w:tab w:val="left" w:pos="360"/>
          <w:tab w:val="left" w:pos="540"/>
          <w:tab w:val="left" w:pos="1080"/>
        </w:tabs>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2.15.3 检验和验收标准、程序等具体内容以及前述验收书的效力详见</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i/>
          <w:color w:val="auto"/>
          <w:sz w:val="24"/>
          <w:szCs w:val="24"/>
          <w:highlight w:val="none"/>
        </w:rPr>
        <w:t>。</w:t>
      </w:r>
    </w:p>
    <w:p w14:paraId="7C2C2E3D">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37" w:name="_Toc31892"/>
      <w:bookmarkStart w:id="138" w:name="_Toc2308"/>
      <w:bookmarkStart w:id="139" w:name="_Toc12666"/>
      <w:bookmarkStart w:id="140" w:name="_Toc9808"/>
      <w:bookmarkStart w:id="141" w:name="_Toc25198"/>
      <w:r>
        <w:rPr>
          <w:rFonts w:hint="eastAsia" w:ascii="仿宋" w:hAnsi="仿宋" w:eastAsia="仿宋" w:cs="仿宋"/>
          <w:b/>
          <w:color w:val="auto"/>
          <w:sz w:val="24"/>
          <w:szCs w:val="24"/>
          <w:highlight w:val="none"/>
        </w:rPr>
        <w:t>2.16 通知和送达</w:t>
      </w:r>
      <w:bookmarkEnd w:id="137"/>
      <w:bookmarkEnd w:id="138"/>
      <w:bookmarkEnd w:id="139"/>
      <w:bookmarkEnd w:id="140"/>
      <w:bookmarkEnd w:id="141"/>
    </w:p>
    <w:p w14:paraId="46F3922D">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bookmarkStart w:id="142" w:name="_Toc18401"/>
      <w:bookmarkStart w:id="143" w:name="_Toc27674"/>
      <w:r>
        <w:rPr>
          <w:rFonts w:hint="eastAsia" w:ascii="仿宋" w:hAnsi="仿宋" w:eastAsia="仿宋" w:cs="仿宋"/>
          <w:color w:val="auto"/>
          <w:sz w:val="24"/>
          <w:szCs w:val="24"/>
          <w:highlight w:val="none"/>
        </w:rPr>
        <w:t xml:space="preserve">2.16.1任何一方因履行合同而以合同第一部分尾部所列明的传真或电子邮件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发出的所有通知、文件、材料，均视为已向对方当事人送达；任何一方变更上述送达方式或者地址的，应于</w:t>
      </w:r>
      <w:r>
        <w:rPr>
          <w:rFonts w:hint="eastAsia" w:ascii="仿宋" w:hAnsi="仿宋" w:eastAsia="仿宋" w:cs="仿宋"/>
          <w:color w:val="auto"/>
          <w:sz w:val="24"/>
          <w:szCs w:val="24"/>
          <w:highlight w:val="none"/>
          <w:u w:val="single"/>
        </w:rPr>
        <w:t>3</w:t>
      </w:r>
      <w:r>
        <w:rPr>
          <w:rFonts w:hint="eastAsia" w:ascii="仿宋" w:hAnsi="仿宋" w:eastAsia="仿宋" w:cs="仿宋"/>
          <w:color w:val="auto"/>
          <w:sz w:val="24"/>
          <w:szCs w:val="24"/>
          <w:highlight w:val="none"/>
        </w:rPr>
        <w:t>个工作日内书面通知对方当事人，在对方当事人收到有关变更通知之前，变更前的约定送达方式或者地址仍视为有效。</w:t>
      </w:r>
    </w:p>
    <w:p w14:paraId="6CDCC1E0">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2.16.2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714A7E24">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44" w:name="_Toc28906"/>
      <w:bookmarkStart w:id="145" w:name="_Toc27644"/>
      <w:bookmarkStart w:id="146" w:name="_Toc5063"/>
      <w:bookmarkStart w:id="147" w:name="_Toc12254"/>
      <w:bookmarkStart w:id="148" w:name="_Toc20808"/>
      <w:r>
        <w:rPr>
          <w:rFonts w:hint="eastAsia" w:ascii="仿宋" w:hAnsi="仿宋" w:eastAsia="仿宋" w:cs="仿宋"/>
          <w:b/>
          <w:color w:val="auto"/>
          <w:sz w:val="24"/>
          <w:szCs w:val="24"/>
          <w:highlight w:val="none"/>
        </w:rPr>
        <w:t>2.17 合同使用的文字和适用的法律</w:t>
      </w:r>
      <w:bookmarkEnd w:id="144"/>
      <w:bookmarkEnd w:id="145"/>
      <w:bookmarkEnd w:id="146"/>
      <w:bookmarkEnd w:id="147"/>
      <w:bookmarkEnd w:id="148"/>
    </w:p>
    <w:p w14:paraId="0A5C302F">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2.17.1 合同使用汉语书就、变更和解释；</w:t>
      </w:r>
    </w:p>
    <w:p w14:paraId="42A7ECA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2.17.2 合同适用中华人民共和国法律。</w:t>
      </w:r>
    </w:p>
    <w:p w14:paraId="384712DA">
      <w:pPr>
        <w:kinsoku/>
        <w:overflowPunct/>
        <w:topLinePunct w:val="0"/>
        <w:bidi w:val="0"/>
        <w:spacing w:beforeLines="0" w:afterLines="0" w:line="400" w:lineRule="exact"/>
        <w:ind w:firstLine="482" w:firstLineChars="200"/>
        <w:outlineLvl w:val="0"/>
        <w:rPr>
          <w:rFonts w:hint="eastAsia" w:ascii="仿宋" w:hAnsi="仿宋" w:eastAsia="仿宋" w:cs="仿宋"/>
          <w:b/>
          <w:color w:val="auto"/>
          <w:sz w:val="24"/>
          <w:szCs w:val="24"/>
          <w:highlight w:val="none"/>
        </w:rPr>
      </w:pPr>
      <w:bookmarkStart w:id="149" w:name="_Toc30599"/>
      <w:bookmarkStart w:id="150" w:name="_Toc18540"/>
      <w:bookmarkStart w:id="151" w:name="_Toc4355"/>
      <w:r>
        <w:rPr>
          <w:rFonts w:hint="eastAsia" w:ascii="仿宋" w:hAnsi="仿宋" w:eastAsia="仿宋" w:cs="仿宋"/>
          <w:b/>
          <w:color w:val="auto"/>
          <w:sz w:val="24"/>
          <w:szCs w:val="24"/>
          <w:highlight w:val="none"/>
        </w:rPr>
        <w:t>2.18 计量单位</w:t>
      </w:r>
      <w:bookmarkEnd w:id="149"/>
      <w:bookmarkEnd w:id="150"/>
      <w:bookmarkEnd w:id="151"/>
    </w:p>
    <w:p w14:paraId="07B9B8AA">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除技术规范中另有规定外,合同的计量单位均使用国家法定计量单位。</w:t>
      </w:r>
    </w:p>
    <w:p w14:paraId="1647E0C8">
      <w:pPr>
        <w:kinsoku/>
        <w:overflowPunct/>
        <w:topLinePunct w:val="0"/>
        <w:bidi w:val="0"/>
        <w:spacing w:beforeLines="0" w:afterLines="0" w:line="400" w:lineRule="exact"/>
        <w:ind w:firstLine="482" w:firstLineChars="200"/>
        <w:rPr>
          <w:rFonts w:hint="eastAsia" w:ascii="仿宋" w:hAnsi="仿宋" w:eastAsia="仿宋" w:cs="仿宋"/>
          <w:b/>
          <w:color w:val="auto"/>
          <w:sz w:val="24"/>
          <w:szCs w:val="24"/>
          <w:highlight w:val="none"/>
        </w:rPr>
      </w:pPr>
      <w:bookmarkStart w:id="152" w:name="_Toc259093692"/>
      <w:bookmarkStart w:id="153" w:name="_Toc12773"/>
      <w:bookmarkStart w:id="154" w:name="_Toc279701263"/>
      <w:bookmarkStart w:id="155" w:name="_Toc10330"/>
      <w:bookmarkStart w:id="156" w:name="_Toc18567"/>
      <w:bookmarkStart w:id="157" w:name="_Toc487900373"/>
      <w:r>
        <w:rPr>
          <w:rFonts w:hint="eastAsia" w:ascii="仿宋" w:hAnsi="仿宋" w:eastAsia="仿宋" w:cs="仿宋"/>
          <w:b/>
          <w:color w:val="auto"/>
          <w:sz w:val="24"/>
          <w:szCs w:val="24"/>
          <w:highlight w:val="none"/>
        </w:rPr>
        <w:t xml:space="preserve">2.19 </w:t>
      </w:r>
      <w:bookmarkEnd w:id="152"/>
      <w:bookmarkEnd w:id="153"/>
      <w:bookmarkEnd w:id="154"/>
      <w:bookmarkEnd w:id="155"/>
      <w:bookmarkEnd w:id="156"/>
      <w:bookmarkEnd w:id="157"/>
      <w:r>
        <w:rPr>
          <w:rFonts w:hint="eastAsia" w:ascii="仿宋" w:hAnsi="仿宋" w:eastAsia="仿宋" w:cs="仿宋"/>
          <w:b/>
          <w:color w:val="auto"/>
          <w:sz w:val="24"/>
          <w:szCs w:val="24"/>
          <w:highlight w:val="none"/>
        </w:rPr>
        <w:t>合同份数</w:t>
      </w:r>
    </w:p>
    <w:p w14:paraId="06700F8B">
      <w:pPr>
        <w:kinsoku/>
        <w:overflowPunct/>
        <w:topLinePunct w:val="0"/>
        <w:bidi w:val="0"/>
        <w:spacing w:beforeLines="0" w:afterLines="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合同份数按</w:t>
      </w:r>
      <w:r>
        <w:rPr>
          <w:rFonts w:hint="eastAsia" w:ascii="仿宋" w:hAnsi="仿宋" w:eastAsia="仿宋" w:cs="仿宋"/>
          <w:b/>
          <w:i/>
          <w:color w:val="auto"/>
          <w:sz w:val="24"/>
          <w:szCs w:val="24"/>
          <w:highlight w:val="none"/>
          <w:u w:val="single"/>
        </w:rPr>
        <w:t>合同专用条款</w:t>
      </w:r>
      <w:r>
        <w:rPr>
          <w:rFonts w:hint="eastAsia" w:ascii="仿宋" w:hAnsi="仿宋" w:eastAsia="仿宋" w:cs="仿宋"/>
          <w:color w:val="auto"/>
          <w:sz w:val="24"/>
          <w:szCs w:val="24"/>
          <w:highlight w:val="none"/>
        </w:rPr>
        <w:t>规定，每份均具有同等法律效力。</w:t>
      </w:r>
    </w:p>
    <w:p w14:paraId="2E2E3663">
      <w:pPr>
        <w:kinsoku/>
        <w:overflowPunct/>
        <w:topLinePunct w:val="0"/>
        <w:bidi w:val="0"/>
        <w:spacing w:beforeLines="0" w:afterLines="0" w:line="400" w:lineRule="exact"/>
        <w:ind w:firstLine="420" w:firstLineChars="200"/>
        <w:jc w:val="center"/>
        <w:outlineLvl w:val="0"/>
        <w:rPr>
          <w:rFonts w:hint="eastAsia" w:ascii="仿宋" w:hAnsi="仿宋" w:eastAsia="仿宋" w:cs="仿宋"/>
          <w:b/>
          <w:color w:val="auto"/>
          <w:sz w:val="24"/>
          <w:szCs w:val="24"/>
          <w:highlight w:val="none"/>
        </w:rPr>
      </w:pPr>
      <w:r>
        <w:rPr>
          <w:rFonts w:hint="eastAsia" w:ascii="仿宋" w:hAnsi="仿宋" w:eastAsia="仿宋" w:cs="仿宋"/>
          <w:color w:val="auto"/>
          <w:kern w:val="0"/>
          <w:sz w:val="21"/>
          <w:szCs w:val="24"/>
          <w:highlight w:val="none"/>
        </w:rPr>
        <w:br w:type="page"/>
      </w:r>
      <w:bookmarkStart w:id="158" w:name="_Toc331685784"/>
      <w:r>
        <w:rPr>
          <w:rFonts w:hint="eastAsia" w:ascii="仿宋" w:hAnsi="仿宋" w:eastAsia="仿宋" w:cs="仿宋"/>
          <w:b/>
          <w:color w:val="auto"/>
          <w:sz w:val="24"/>
          <w:szCs w:val="24"/>
          <w:highlight w:val="none"/>
        </w:rPr>
        <w:t xml:space="preserve"> </w:t>
      </w:r>
      <w:bookmarkEnd w:id="158"/>
      <w:r>
        <w:rPr>
          <w:rFonts w:hint="eastAsia" w:ascii="仿宋" w:hAnsi="仿宋" w:eastAsia="仿宋" w:cs="仿宋"/>
          <w:b/>
          <w:color w:val="auto"/>
          <w:sz w:val="24"/>
          <w:szCs w:val="24"/>
          <w:highlight w:val="none"/>
        </w:rPr>
        <w:t>第三部分  合同专用条款</w:t>
      </w:r>
    </w:p>
    <w:p w14:paraId="22737BF5">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auto"/>
          <w:sz w:val="21"/>
          <w:szCs w:val="24"/>
          <w:highlight w:val="none"/>
        </w:rPr>
      </w:pPr>
      <w:r>
        <w:rPr>
          <w:rFonts w:hint="eastAsia" w:ascii="仿宋" w:hAnsi="仿宋" w:eastAsia="仿宋" w:cs="仿宋"/>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44318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D68EF6E">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条款号</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A01A3D">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约定内容</w:t>
            </w:r>
          </w:p>
        </w:tc>
      </w:tr>
      <w:tr w14:paraId="23915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268D80B">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76B7E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49869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1027A90">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85083E">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77133B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E58DCC">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1.5.1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9CD30">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2D4E6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B05383E">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BBE8A">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4F3C7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C7EA5B5">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1.5.3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AD03C7">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63FBF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92CD985">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B490AA">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61CFE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B20F56F">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6B845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15BCB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0352A1D0">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A1A690">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187B4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1E676ED0">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1ABD1D">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51966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18FA4B7">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BB0F82">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2D6670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2EFB4556">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1C02E3">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0FC132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63AE3263">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FFDDB7">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0B287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D02E323">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1.8.7</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8188D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3762B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1F5ED3A">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2.3.2</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7038D7">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auto"/>
                <w:sz w:val="24"/>
                <w:szCs w:val="24"/>
                <w:highlight w:val="none"/>
              </w:rPr>
            </w:pPr>
          </w:p>
        </w:tc>
      </w:tr>
      <w:tr w14:paraId="5DC4D0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43EE8BA4">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F2F54C">
            <w:pPr>
              <w:kinsoku/>
              <w:overflowPunct/>
              <w:topLinePunct w:val="0"/>
              <w:bidi w:val="0"/>
              <w:spacing w:beforeLines="0" w:afterLines="0" w:line="400" w:lineRule="exact"/>
              <w:ind w:left="-420" w:leftChars="-200" w:right="-420" w:rightChars="-200" w:firstLine="480" w:firstLineChars="200"/>
              <w:rPr>
                <w:rFonts w:hint="eastAsia" w:ascii="仿宋" w:hAnsi="仿宋" w:eastAsia="仿宋" w:cs="仿宋"/>
                <w:color w:val="auto"/>
                <w:sz w:val="24"/>
                <w:szCs w:val="24"/>
                <w:highlight w:val="none"/>
              </w:rPr>
            </w:pPr>
          </w:p>
        </w:tc>
      </w:tr>
      <w:tr w14:paraId="225683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3F42FF34">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025F91">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5A3B7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1BA19A0A">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2.11.4 </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1E0147CC">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4CF22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29AEA01">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2.15.1</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94F85D">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6F2607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center"/>
          </w:tcPr>
          <w:p w14:paraId="5FBAED88">
            <w:pPr>
              <w:kinsoku/>
              <w:overflowPunct/>
              <w:topLinePunct w:val="0"/>
              <w:bidi w:val="0"/>
              <w:spacing w:beforeLines="0" w:afterLines="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2.15.3</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551299">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r w14:paraId="24A936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top w:val="single" w:color="auto" w:sz="6" w:space="0"/>
              <w:left w:val="single" w:color="auto" w:sz="4" w:space="0"/>
              <w:bottom w:val="single" w:color="auto" w:sz="6" w:space="0"/>
              <w:right w:val="single" w:color="auto" w:sz="6" w:space="0"/>
              <w:tl2br w:val="nil"/>
              <w:tr2bl w:val="nil"/>
            </w:tcBorders>
            <w:noWrap w:val="0"/>
            <w:vAlign w:val="top"/>
          </w:tcPr>
          <w:p w14:paraId="739E085C">
            <w:pPr>
              <w:kinsoku/>
              <w:overflowPunct/>
              <w:topLinePunct w:val="0"/>
              <w:bidi w:val="0"/>
              <w:spacing w:beforeLines="0" w:afterLines="0" w:line="400" w:lineRule="exac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19</w:t>
            </w:r>
          </w:p>
        </w:tc>
        <w:tc>
          <w:tcPr>
            <w:tcW w:w="8149" w:type="dxa"/>
            <w:tcBorders>
              <w:top w:val="single" w:color="auto" w:sz="6" w:space="0"/>
              <w:left w:val="single" w:color="auto" w:sz="6" w:space="0"/>
              <w:bottom w:val="single" w:color="auto" w:sz="6" w:space="0"/>
              <w:right w:val="single" w:color="auto" w:sz="6" w:space="0"/>
              <w:tl2br w:val="nil"/>
              <w:tr2bl w:val="nil"/>
            </w:tcBorders>
            <w:noWrap w:val="0"/>
            <w:vAlign w:val="top"/>
          </w:tcPr>
          <w:p w14:paraId="7CB109E2">
            <w:pPr>
              <w:kinsoku/>
              <w:overflowPunct/>
              <w:topLinePunct w:val="0"/>
              <w:bidi w:val="0"/>
              <w:spacing w:beforeLines="0" w:afterLines="0" w:line="400" w:lineRule="exact"/>
              <w:rPr>
                <w:rFonts w:hint="eastAsia" w:ascii="仿宋" w:hAnsi="仿宋" w:eastAsia="仿宋" w:cs="仿宋"/>
                <w:color w:val="auto"/>
                <w:sz w:val="24"/>
                <w:szCs w:val="24"/>
                <w:highlight w:val="none"/>
              </w:rPr>
            </w:pPr>
          </w:p>
        </w:tc>
      </w:tr>
    </w:tbl>
    <w:p w14:paraId="6E1F7FEA">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7588224F">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70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70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205"/>
        <w:gridCol w:w="6088"/>
        <w:gridCol w:w="1221"/>
      </w:tblGrid>
      <w:tr w14:paraId="7B93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05" w:type="dxa"/>
            <w:noWrap w:val="0"/>
            <w:vAlign w:val="center"/>
          </w:tcPr>
          <w:p w14:paraId="14A237C3">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序号</w:t>
            </w:r>
          </w:p>
        </w:tc>
        <w:tc>
          <w:tcPr>
            <w:tcW w:w="1205" w:type="dxa"/>
            <w:noWrap w:val="0"/>
            <w:vAlign w:val="center"/>
          </w:tcPr>
          <w:p w14:paraId="0AF7EBCF">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评分项</w:t>
            </w:r>
          </w:p>
        </w:tc>
        <w:tc>
          <w:tcPr>
            <w:tcW w:w="6088" w:type="dxa"/>
            <w:noWrap w:val="0"/>
            <w:vAlign w:val="center"/>
          </w:tcPr>
          <w:p w14:paraId="39A20570">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评审依据及标准</w:t>
            </w:r>
          </w:p>
        </w:tc>
        <w:tc>
          <w:tcPr>
            <w:tcW w:w="1221" w:type="dxa"/>
            <w:noWrap w:val="0"/>
            <w:vAlign w:val="center"/>
          </w:tcPr>
          <w:p w14:paraId="6937F1BA">
            <w:pPr>
              <w:widowControl/>
              <w:snapToGrid w:val="0"/>
              <w:spacing w:line="336" w:lineRule="auto"/>
              <w:jc w:val="center"/>
              <w:rPr>
                <w:rFonts w:hint="eastAsia"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分值</w:t>
            </w:r>
          </w:p>
        </w:tc>
      </w:tr>
      <w:tr w14:paraId="7A83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1205" w:type="dxa"/>
            <w:noWrap w:val="0"/>
            <w:vAlign w:val="center"/>
          </w:tcPr>
          <w:p w14:paraId="0577A6C9">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1</w:t>
            </w:r>
          </w:p>
        </w:tc>
        <w:tc>
          <w:tcPr>
            <w:tcW w:w="1205" w:type="dxa"/>
            <w:noWrap w:val="0"/>
            <w:vAlign w:val="center"/>
          </w:tcPr>
          <w:p w14:paraId="2A102D38">
            <w:pPr>
              <w:spacing w:line="336"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类似业绩</w:t>
            </w:r>
          </w:p>
        </w:tc>
        <w:tc>
          <w:tcPr>
            <w:tcW w:w="6088" w:type="dxa"/>
            <w:noWrap w:val="0"/>
            <w:vAlign w:val="center"/>
          </w:tcPr>
          <w:p w14:paraId="4DF4E3FB">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供应商自2022年</w:t>
            </w:r>
            <w:r>
              <w:rPr>
                <w:rFonts w:hint="eastAsia" w:ascii="仿宋_GB2312" w:hAnsi="仿宋_GB2312" w:eastAsia="仿宋_GB2312" w:cs="仿宋_GB2312"/>
                <w:sz w:val="24"/>
                <w:highlight w:val="none"/>
                <w:lang w:val="en-US" w:eastAsia="zh-CN"/>
              </w:rPr>
              <w:t>7</w:t>
            </w:r>
            <w:r>
              <w:rPr>
                <w:rFonts w:hint="eastAsia" w:ascii="仿宋_GB2312" w:hAnsi="仿宋_GB2312" w:eastAsia="仿宋_GB2312" w:cs="仿宋_GB2312"/>
                <w:sz w:val="24"/>
                <w:highlight w:val="none"/>
                <w:lang w:eastAsia="zh-CN"/>
              </w:rPr>
              <w:t>月1日以来具有类似服务项目业绩的，每提供一个业绩证明得1分，</w:t>
            </w:r>
            <w:r>
              <w:rPr>
                <w:rFonts w:hint="eastAsia" w:ascii="仿宋_GB2312" w:hAnsi="仿宋_GB2312" w:eastAsia="仿宋_GB2312" w:cs="仿宋_GB2312"/>
                <w:sz w:val="24"/>
                <w:highlight w:val="none"/>
                <w:lang w:val="en-US" w:eastAsia="zh-CN"/>
              </w:rPr>
              <w:t>同一单位计1分，</w:t>
            </w:r>
            <w:r>
              <w:rPr>
                <w:rFonts w:hint="eastAsia" w:ascii="仿宋_GB2312" w:hAnsi="仿宋_GB2312" w:eastAsia="仿宋_GB2312" w:cs="仿宋_GB2312"/>
                <w:sz w:val="24"/>
                <w:highlight w:val="none"/>
                <w:lang w:eastAsia="zh-CN"/>
              </w:rPr>
              <w:t>最高得3分。</w:t>
            </w:r>
          </w:p>
          <w:p w14:paraId="5AB79C9B">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注：</w:t>
            </w:r>
            <w:r>
              <w:rPr>
                <w:rFonts w:hint="eastAsia" w:ascii="仿宋_GB2312" w:hAnsi="仿宋_GB2312" w:eastAsia="仿宋_GB2312" w:cs="仿宋_GB2312"/>
                <w:sz w:val="24"/>
                <w:highlight w:val="none"/>
                <w:lang w:val="en-US" w:eastAsia="zh-CN"/>
              </w:rPr>
              <w:t>商务技术</w:t>
            </w:r>
            <w:r>
              <w:rPr>
                <w:rFonts w:hint="eastAsia" w:ascii="仿宋_GB2312" w:hAnsi="仿宋_GB2312" w:eastAsia="仿宋_GB2312" w:cs="仿宋_GB2312"/>
                <w:sz w:val="24"/>
                <w:highlight w:val="none"/>
                <w:lang w:eastAsia="zh-CN"/>
              </w:rPr>
              <w:t>文件中提供项目合同复印件或扫描件加盖投标人公章。时间以合同签订时间为准，项目合同中无法体现具体内容的，补充提供业主单位盖章的证明材料。</w:t>
            </w:r>
          </w:p>
        </w:tc>
        <w:tc>
          <w:tcPr>
            <w:tcW w:w="1221" w:type="dxa"/>
            <w:noWrap w:val="0"/>
            <w:vAlign w:val="center"/>
          </w:tcPr>
          <w:p w14:paraId="2ED5350A">
            <w:pPr>
              <w:spacing w:line="336" w:lineRule="auto"/>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3分</w:t>
            </w:r>
          </w:p>
        </w:tc>
      </w:tr>
      <w:tr w14:paraId="520C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205" w:type="dxa"/>
            <w:noWrap w:val="0"/>
            <w:vAlign w:val="center"/>
          </w:tcPr>
          <w:p w14:paraId="6330D23A">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2</w:t>
            </w:r>
          </w:p>
        </w:tc>
        <w:tc>
          <w:tcPr>
            <w:tcW w:w="1205" w:type="dxa"/>
            <w:noWrap w:val="0"/>
            <w:vAlign w:val="center"/>
          </w:tcPr>
          <w:p w14:paraId="3FEA42ED">
            <w:pPr>
              <w:spacing w:line="336" w:lineRule="auto"/>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企业认证情况</w:t>
            </w:r>
          </w:p>
        </w:tc>
        <w:tc>
          <w:tcPr>
            <w:tcW w:w="6088" w:type="dxa"/>
            <w:noWrap w:val="0"/>
            <w:vAlign w:val="center"/>
          </w:tcPr>
          <w:p w14:paraId="5B5791E6">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根据投标人</w:t>
            </w:r>
            <w:r>
              <w:rPr>
                <w:rFonts w:hint="eastAsia" w:ascii="仿宋_GB2312" w:hAnsi="仿宋_GB2312" w:eastAsia="仿宋_GB2312" w:cs="仿宋_GB2312"/>
                <w:sz w:val="24"/>
                <w:highlight w:val="none"/>
                <w:lang w:val="en-US" w:eastAsia="zh-CN"/>
              </w:rPr>
              <w:t>提供与本项目相关的</w:t>
            </w:r>
            <w:r>
              <w:rPr>
                <w:rFonts w:hint="eastAsia" w:ascii="仿宋_GB2312" w:hAnsi="仿宋_GB2312" w:eastAsia="仿宋_GB2312" w:cs="仿宋_GB2312"/>
                <w:sz w:val="24"/>
                <w:highlight w:val="none"/>
                <w:lang w:eastAsia="zh-CN"/>
              </w:rPr>
              <w:t>企业认证证书情况进行打分，包括但不限于质量管理，环境管理、职业健康安全管理等方面，提供相关证明并加盖投标人公章。</w:t>
            </w:r>
          </w:p>
          <w:p w14:paraId="7616769F">
            <w:pPr>
              <w:spacing w:line="336" w:lineRule="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lang w:eastAsia="zh-CN"/>
              </w:rPr>
              <w:t>(本项分值设置为</w:t>
            </w:r>
            <w:r>
              <w:rPr>
                <w:rFonts w:hint="eastAsia" w:ascii="仿宋_GB2312" w:hAnsi="仿宋_GB2312" w:eastAsia="仿宋_GB2312" w:cs="仿宋_GB2312"/>
                <w:sz w:val="24"/>
                <w:highlight w:val="none"/>
                <w:lang w:val="en-US" w:eastAsia="zh-CN"/>
              </w:rPr>
              <w:t>5,4,3,</w:t>
            </w:r>
            <w:r>
              <w:rPr>
                <w:rFonts w:hint="eastAsia" w:ascii="仿宋_GB2312" w:hAnsi="仿宋_GB2312" w:eastAsia="仿宋_GB2312" w:cs="仿宋_GB2312"/>
                <w:sz w:val="24"/>
                <w:highlight w:val="none"/>
                <w:lang w:eastAsia="zh-CN"/>
              </w:rPr>
              <w:t>2,1,0.5,0分)</w:t>
            </w:r>
          </w:p>
        </w:tc>
        <w:tc>
          <w:tcPr>
            <w:tcW w:w="1221" w:type="dxa"/>
            <w:noWrap w:val="0"/>
            <w:vAlign w:val="center"/>
          </w:tcPr>
          <w:p w14:paraId="2C3A4F78">
            <w:pPr>
              <w:spacing w:line="336" w:lineRule="auto"/>
              <w:jc w:val="center"/>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5分</w:t>
            </w:r>
          </w:p>
        </w:tc>
      </w:tr>
      <w:tr w14:paraId="4F0F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205" w:type="dxa"/>
            <w:noWrap w:val="0"/>
            <w:vAlign w:val="center"/>
          </w:tcPr>
          <w:p w14:paraId="17DF63E6">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3</w:t>
            </w:r>
          </w:p>
        </w:tc>
        <w:tc>
          <w:tcPr>
            <w:tcW w:w="1205" w:type="dxa"/>
            <w:noWrap w:val="0"/>
            <w:vAlign w:val="center"/>
          </w:tcPr>
          <w:p w14:paraId="3B57BD6A">
            <w:pPr>
              <w:pStyle w:val="82"/>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项目需求的理解与分析</w:t>
            </w:r>
          </w:p>
        </w:tc>
        <w:tc>
          <w:tcPr>
            <w:tcW w:w="6088" w:type="dxa"/>
            <w:noWrap w:val="0"/>
            <w:vAlign w:val="center"/>
          </w:tcPr>
          <w:p w14:paraId="622C6F84">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结合本项目实施内容对本项目实施的目的、战略方向、存在的重点难点等进行分析并提出应对措施或合理化建议，包括但不限于投标人对该公益宣传了解与研究程度，对该公益宣传的整体响应与采购需求的吻合程度等由评委进行综合打分。</w:t>
            </w:r>
          </w:p>
          <w:p w14:paraId="0A1EFB71">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0BFCF481">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08FD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5" w:type="dxa"/>
            <w:vMerge w:val="restart"/>
            <w:noWrap w:val="0"/>
            <w:vAlign w:val="center"/>
          </w:tcPr>
          <w:p w14:paraId="592A4B20">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4</w:t>
            </w:r>
          </w:p>
        </w:tc>
        <w:tc>
          <w:tcPr>
            <w:tcW w:w="1205" w:type="dxa"/>
            <w:vMerge w:val="restart"/>
            <w:noWrap w:val="0"/>
            <w:vAlign w:val="center"/>
          </w:tcPr>
          <w:p w14:paraId="2E116EE5">
            <w:pPr>
              <w:pStyle w:val="82"/>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设计方案</w:t>
            </w:r>
          </w:p>
        </w:tc>
        <w:tc>
          <w:tcPr>
            <w:tcW w:w="6088" w:type="dxa"/>
            <w:noWrap w:val="0"/>
            <w:vAlign w:val="center"/>
          </w:tcPr>
          <w:p w14:paraId="5AF52526">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根据供应商提供的设计方案</w:t>
            </w:r>
            <w:r>
              <w:rPr>
                <w:rFonts w:hint="eastAsia" w:ascii="仿宋_GB2312" w:hAnsi="仿宋_GB2312" w:eastAsia="仿宋_GB2312" w:cs="仿宋_GB2312"/>
                <w:sz w:val="24"/>
                <w:highlight w:val="none"/>
                <w:lang w:eastAsia="zh-CN"/>
              </w:rPr>
              <w:t>情况进行打分，</w:t>
            </w:r>
            <w:r>
              <w:rPr>
                <w:rFonts w:hint="eastAsia" w:ascii="仿宋_GB2312" w:hAnsi="仿宋_GB2312" w:eastAsia="仿宋_GB2312" w:cs="仿宋_GB2312"/>
                <w:sz w:val="24"/>
                <w:highlight w:val="none"/>
                <w:lang w:val="en-US" w:eastAsia="zh-CN"/>
              </w:rPr>
              <w:t>包括但不限于构思，立意，寓意，特点，创意性等，且符合采购人具体情况，由评委进行综合打分。</w:t>
            </w:r>
          </w:p>
          <w:p w14:paraId="14792DB5">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78D4264A">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3224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5" w:type="dxa"/>
            <w:vMerge w:val="continue"/>
            <w:noWrap w:val="0"/>
            <w:vAlign w:val="center"/>
          </w:tcPr>
          <w:p w14:paraId="48A5353B">
            <w:pPr>
              <w:widowControl/>
              <w:snapToGrid w:val="0"/>
              <w:spacing w:line="336" w:lineRule="auto"/>
              <w:jc w:val="center"/>
              <w:rPr>
                <w:rFonts w:hint="eastAsia" w:ascii="仿宋_GB2312" w:hAnsi="仿宋_GB2312" w:eastAsia="仿宋_GB2312" w:cs="仿宋_GB2312"/>
                <w:kern w:val="0"/>
                <w:sz w:val="24"/>
                <w:highlight w:val="none"/>
                <w:lang w:val="en-US" w:eastAsia="zh-CN"/>
              </w:rPr>
            </w:pPr>
          </w:p>
        </w:tc>
        <w:tc>
          <w:tcPr>
            <w:tcW w:w="1205" w:type="dxa"/>
            <w:vMerge w:val="continue"/>
            <w:noWrap w:val="0"/>
            <w:vAlign w:val="center"/>
          </w:tcPr>
          <w:p w14:paraId="72579522">
            <w:pPr>
              <w:pStyle w:val="82"/>
              <w:jc w:val="center"/>
              <w:rPr>
                <w:rFonts w:hint="eastAsia" w:ascii="仿宋_GB2312" w:hAnsi="仿宋_GB2312" w:eastAsia="仿宋_GB2312" w:cs="仿宋_GB2312"/>
                <w:color w:val="auto"/>
                <w:kern w:val="2"/>
                <w:sz w:val="24"/>
                <w:szCs w:val="24"/>
                <w:highlight w:val="none"/>
                <w:lang w:val="en-US" w:eastAsia="zh-CN" w:bidi="ar-SA"/>
              </w:rPr>
            </w:pPr>
          </w:p>
        </w:tc>
        <w:tc>
          <w:tcPr>
            <w:tcW w:w="6088" w:type="dxa"/>
            <w:noWrap w:val="0"/>
            <w:vAlign w:val="center"/>
          </w:tcPr>
          <w:p w14:paraId="797EB9B7">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结合采购需求，广告资源的核心区位设计，设计风格与采购人情况贴合性、协调性，由评委进行综合打分。</w:t>
            </w:r>
          </w:p>
          <w:p w14:paraId="02B797C0">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1D2EF6D0">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6AFE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5" w:type="dxa"/>
            <w:vMerge w:val="continue"/>
            <w:noWrap w:val="0"/>
            <w:vAlign w:val="center"/>
          </w:tcPr>
          <w:p w14:paraId="5459A0E3">
            <w:pPr>
              <w:widowControl/>
              <w:snapToGrid w:val="0"/>
              <w:spacing w:line="336" w:lineRule="auto"/>
              <w:jc w:val="center"/>
              <w:rPr>
                <w:rFonts w:hint="eastAsia" w:ascii="仿宋_GB2312" w:hAnsi="仿宋_GB2312" w:eastAsia="仿宋_GB2312" w:cs="仿宋_GB2312"/>
                <w:kern w:val="0"/>
                <w:sz w:val="24"/>
                <w:highlight w:val="none"/>
                <w:lang w:val="en-US" w:eastAsia="zh-CN"/>
              </w:rPr>
            </w:pPr>
          </w:p>
        </w:tc>
        <w:tc>
          <w:tcPr>
            <w:tcW w:w="1205" w:type="dxa"/>
            <w:vMerge w:val="continue"/>
            <w:noWrap w:val="0"/>
            <w:vAlign w:val="center"/>
          </w:tcPr>
          <w:p w14:paraId="5018154A">
            <w:pPr>
              <w:pStyle w:val="82"/>
              <w:jc w:val="center"/>
              <w:rPr>
                <w:rFonts w:hint="eastAsia" w:ascii="仿宋_GB2312" w:hAnsi="仿宋_GB2312" w:eastAsia="仿宋_GB2312" w:cs="仿宋_GB2312"/>
                <w:color w:val="auto"/>
                <w:kern w:val="2"/>
                <w:sz w:val="24"/>
                <w:szCs w:val="24"/>
                <w:highlight w:val="none"/>
                <w:lang w:val="en-US" w:eastAsia="zh-CN" w:bidi="ar-SA"/>
              </w:rPr>
            </w:pPr>
          </w:p>
        </w:tc>
        <w:tc>
          <w:tcPr>
            <w:tcW w:w="6088" w:type="dxa"/>
            <w:noWrap w:val="0"/>
            <w:vAlign w:val="center"/>
          </w:tcPr>
          <w:p w14:paraId="33F800DE">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根据采购人要求，结合采购人实际，对于公益宣传设计是否体现主题、达到推广采购人的效果是否完整、文字清晰程度、制作完美程度、内容说明表达程度，由评委进行综合打分。</w:t>
            </w:r>
          </w:p>
          <w:p w14:paraId="6AFD1E7F">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（本项分值设置为7,6,5,4,3,2,1,0.5,0分)</w:t>
            </w:r>
          </w:p>
        </w:tc>
        <w:tc>
          <w:tcPr>
            <w:tcW w:w="1221" w:type="dxa"/>
            <w:noWrap w:val="0"/>
            <w:vAlign w:val="center"/>
          </w:tcPr>
          <w:p w14:paraId="01B1B837">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7分</w:t>
            </w:r>
          </w:p>
        </w:tc>
      </w:tr>
      <w:tr w14:paraId="319F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05" w:type="dxa"/>
            <w:noWrap w:val="0"/>
            <w:vAlign w:val="center"/>
          </w:tcPr>
          <w:p w14:paraId="3D882136">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5</w:t>
            </w:r>
          </w:p>
        </w:tc>
        <w:tc>
          <w:tcPr>
            <w:tcW w:w="1205" w:type="dxa"/>
            <w:noWrap w:val="0"/>
            <w:vAlign w:val="center"/>
          </w:tcPr>
          <w:p w14:paraId="6A54A85E">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服务实施方案</w:t>
            </w:r>
          </w:p>
        </w:tc>
        <w:tc>
          <w:tcPr>
            <w:tcW w:w="6088" w:type="dxa"/>
            <w:noWrap w:val="0"/>
            <w:vAlign w:val="center"/>
          </w:tcPr>
          <w:p w14:paraId="429DBD55">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根据投标人针对本项目提供的全流程服务内容（含工作流程）进行评分，包括但不限于</w:t>
            </w:r>
            <w:r>
              <w:rPr>
                <w:rFonts w:hint="eastAsia" w:ascii="仿宋_GB2312" w:hAnsi="仿宋_GB2312" w:eastAsia="仿宋_GB2312" w:cs="仿宋_GB2312"/>
                <w:sz w:val="24"/>
                <w:lang w:val="en-US" w:eastAsia="zh-CN"/>
              </w:rPr>
              <w:t>投放流程</w:t>
            </w:r>
            <w:r>
              <w:rPr>
                <w:rFonts w:hint="eastAsia" w:ascii="仿宋_GB2312" w:hAnsi="仿宋_GB2312" w:eastAsia="仿宋_GB2312" w:cs="仿宋_GB2312"/>
                <w:sz w:val="24"/>
                <w:lang w:eastAsia="zh-CN"/>
              </w:rPr>
              <w:t>便捷程度、</w:t>
            </w:r>
            <w:r>
              <w:rPr>
                <w:rFonts w:hint="eastAsia" w:ascii="仿宋_GB2312" w:hAnsi="仿宋_GB2312" w:eastAsia="仿宋_GB2312" w:cs="仿宋_GB2312"/>
                <w:sz w:val="24"/>
                <w:lang w:val="en-US" w:eastAsia="zh-CN"/>
              </w:rPr>
              <w:t>投放时间、进度计划安排等，</w:t>
            </w:r>
            <w:r>
              <w:rPr>
                <w:rFonts w:hint="eastAsia" w:ascii="仿宋_GB2312" w:hAnsi="仿宋_GB2312" w:eastAsia="仿宋_GB2312" w:cs="仿宋_GB2312"/>
                <w:sz w:val="24"/>
                <w:highlight w:val="none"/>
                <w:lang w:val="en-US" w:eastAsia="zh-CN"/>
              </w:rPr>
              <w:t>由评委进行综合打分。</w:t>
            </w:r>
          </w:p>
          <w:p w14:paraId="17B3AA5C">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（本项分值设置为8,7,6,5,4,3,2,1,0.5,0分)</w:t>
            </w:r>
          </w:p>
        </w:tc>
        <w:tc>
          <w:tcPr>
            <w:tcW w:w="1221" w:type="dxa"/>
            <w:noWrap w:val="0"/>
            <w:vAlign w:val="center"/>
          </w:tcPr>
          <w:p w14:paraId="587A7557">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8分</w:t>
            </w:r>
          </w:p>
        </w:tc>
      </w:tr>
      <w:tr w14:paraId="4257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05" w:type="dxa"/>
            <w:noWrap w:val="0"/>
            <w:vAlign w:val="center"/>
          </w:tcPr>
          <w:p w14:paraId="344265C2">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6</w:t>
            </w:r>
          </w:p>
        </w:tc>
        <w:tc>
          <w:tcPr>
            <w:tcW w:w="1205" w:type="dxa"/>
            <w:noWrap w:val="0"/>
            <w:vAlign w:val="center"/>
          </w:tcPr>
          <w:p w14:paraId="48595833">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应急预案</w:t>
            </w:r>
          </w:p>
        </w:tc>
        <w:tc>
          <w:tcPr>
            <w:tcW w:w="6088" w:type="dxa"/>
            <w:noWrap w:val="0"/>
            <w:vAlign w:val="center"/>
          </w:tcPr>
          <w:p w14:paraId="3F6FF0AB">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rPr>
              <w:t>根据投标人</w:t>
            </w:r>
            <w:r>
              <w:rPr>
                <w:rFonts w:hint="eastAsia" w:ascii="仿宋_GB2312" w:hAnsi="仿宋_GB2312" w:eastAsia="仿宋_GB2312" w:cs="仿宋_GB2312"/>
                <w:sz w:val="24"/>
                <w:lang w:val="en-US" w:eastAsia="zh-CN"/>
              </w:rPr>
              <w:t>对突发事件情况下的处理情况进行打分，对本项目可能出现的突发事件的处理应急预案的完善性、可实施性、科学性等，</w:t>
            </w:r>
            <w:r>
              <w:rPr>
                <w:rFonts w:hint="eastAsia" w:ascii="仿宋_GB2312" w:hAnsi="仿宋_GB2312" w:eastAsia="仿宋_GB2312" w:cs="仿宋_GB2312"/>
                <w:sz w:val="24"/>
                <w:highlight w:val="none"/>
                <w:lang w:val="en-US" w:eastAsia="zh-CN"/>
              </w:rPr>
              <w:t>由评委进行综合打分。</w:t>
            </w:r>
          </w:p>
          <w:p w14:paraId="2D55D6FC">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（本项分值设置为8,7,6,5,4,3,2,1,0.5,0分)</w:t>
            </w:r>
          </w:p>
        </w:tc>
        <w:tc>
          <w:tcPr>
            <w:tcW w:w="1221" w:type="dxa"/>
            <w:noWrap w:val="0"/>
            <w:vAlign w:val="center"/>
          </w:tcPr>
          <w:p w14:paraId="0A221D81">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8分</w:t>
            </w:r>
          </w:p>
        </w:tc>
      </w:tr>
      <w:tr w14:paraId="64FA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205" w:type="dxa"/>
            <w:noWrap w:val="0"/>
            <w:vAlign w:val="center"/>
          </w:tcPr>
          <w:p w14:paraId="508B0E61">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7</w:t>
            </w:r>
          </w:p>
        </w:tc>
        <w:tc>
          <w:tcPr>
            <w:tcW w:w="1205" w:type="dxa"/>
            <w:noWrap w:val="0"/>
            <w:vAlign w:val="center"/>
          </w:tcPr>
          <w:p w14:paraId="12A0FA49">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质量保证及后续</w:t>
            </w:r>
          </w:p>
        </w:tc>
        <w:tc>
          <w:tcPr>
            <w:tcW w:w="6088" w:type="dxa"/>
            <w:noWrap w:val="0"/>
            <w:vAlign w:val="center"/>
          </w:tcPr>
          <w:p w14:paraId="6E7AE14F">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根据投标人制定的质量保证及后续的实施方案进行评分，包括但不限于质量保证措施及工作流程、质量管理机制、后续维护方案等，由评委进行综合打分。</w:t>
            </w:r>
          </w:p>
          <w:p w14:paraId="183B8125">
            <w:pPr>
              <w:spacing w:line="336" w:lineRule="auto"/>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（本项分值设置为8,7,6,5,4,3,2,1,0.5,0分)</w:t>
            </w:r>
          </w:p>
        </w:tc>
        <w:tc>
          <w:tcPr>
            <w:tcW w:w="1221" w:type="dxa"/>
            <w:noWrap w:val="0"/>
            <w:vAlign w:val="center"/>
          </w:tcPr>
          <w:p w14:paraId="2739C55B">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8分</w:t>
            </w:r>
          </w:p>
        </w:tc>
      </w:tr>
      <w:tr w14:paraId="26B7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205" w:type="dxa"/>
            <w:vMerge w:val="restart"/>
            <w:noWrap w:val="0"/>
            <w:vAlign w:val="center"/>
          </w:tcPr>
          <w:p w14:paraId="7D8E9AFD">
            <w:pPr>
              <w:widowControl/>
              <w:snapToGrid w:val="0"/>
              <w:spacing w:line="336" w:lineRule="auto"/>
              <w:jc w:val="center"/>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8</w:t>
            </w:r>
          </w:p>
        </w:tc>
        <w:tc>
          <w:tcPr>
            <w:tcW w:w="1205" w:type="dxa"/>
            <w:vMerge w:val="restart"/>
            <w:noWrap w:val="0"/>
            <w:vAlign w:val="center"/>
          </w:tcPr>
          <w:p w14:paraId="484BA1F7">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团队配备</w:t>
            </w:r>
          </w:p>
        </w:tc>
        <w:tc>
          <w:tcPr>
            <w:tcW w:w="6088" w:type="dxa"/>
            <w:noWrap w:val="0"/>
            <w:vAlign w:val="center"/>
          </w:tcPr>
          <w:p w14:paraId="6F2F5DAA">
            <w:pPr>
              <w:pStyle w:val="3"/>
              <w:spacing w:before="0" w:after="0" w:line="336" w:lineRule="auto"/>
              <w:ind w:left="0" w:firstLine="0"/>
              <w:jc w:val="both"/>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根据投标人拟派本项目的项目负责人情况进行打分，包括但不限于学历资历、职称、服务经验等，由评委进行综合打分。</w:t>
            </w:r>
          </w:p>
          <w:p w14:paraId="1C304D47">
            <w:pPr>
              <w:pStyle w:val="3"/>
              <w:spacing w:before="0" w:after="0" w:line="336" w:lineRule="auto"/>
              <w:jc w:val="left"/>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（本项分值设置为4,3,2,1,0.5,0分)</w:t>
            </w:r>
          </w:p>
          <w:p w14:paraId="4B5AA366">
            <w:pPr>
              <w:pStyle w:val="3"/>
              <w:keepNext/>
              <w:keepLines/>
              <w:pageBreakBefore w:val="0"/>
              <w:widowControl w:val="0"/>
              <w:kinsoku/>
              <w:wordWrap/>
              <w:overflowPunct/>
              <w:topLinePunct w:val="0"/>
              <w:autoSpaceDE/>
              <w:autoSpaceDN/>
              <w:bidi w:val="0"/>
              <w:adjustRightInd/>
              <w:snapToGrid/>
              <w:spacing w:before="0" w:after="0" w:line="336" w:lineRule="auto"/>
              <w:ind w:left="0" w:firstLine="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val="0"/>
                <w:bCs w:val="0"/>
                <w:kern w:val="2"/>
                <w:sz w:val="24"/>
                <w:szCs w:val="22"/>
                <w:highlight w:val="none"/>
                <w:lang w:val="en-US" w:eastAsia="zh-CN" w:bidi="ar-SA"/>
              </w:rPr>
              <w:t>证明材料：提供投标文件中出具的项目负责人的相关证书及投标人为其缴纳的社保证明材料复印件并加盖投标人公章。证明材料不完整或未提供的均不得分。</w:t>
            </w:r>
          </w:p>
        </w:tc>
        <w:tc>
          <w:tcPr>
            <w:tcW w:w="1221" w:type="dxa"/>
            <w:noWrap w:val="0"/>
            <w:vAlign w:val="center"/>
          </w:tcPr>
          <w:p w14:paraId="79F42955">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4分</w:t>
            </w:r>
          </w:p>
        </w:tc>
      </w:tr>
      <w:tr w14:paraId="1307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205" w:type="dxa"/>
            <w:vMerge w:val="continue"/>
            <w:noWrap w:val="0"/>
            <w:vAlign w:val="center"/>
          </w:tcPr>
          <w:p w14:paraId="3B75ABEF">
            <w:pPr>
              <w:widowControl/>
              <w:snapToGrid w:val="0"/>
              <w:spacing w:line="336" w:lineRule="auto"/>
              <w:jc w:val="center"/>
              <w:rPr>
                <w:rFonts w:hint="eastAsia" w:ascii="仿宋_GB2312" w:hAnsi="仿宋_GB2312" w:eastAsia="仿宋_GB2312" w:cs="仿宋_GB2312"/>
                <w:kern w:val="0"/>
                <w:sz w:val="24"/>
                <w:highlight w:val="none"/>
                <w:lang w:val="en-US" w:eastAsia="zh-CN"/>
              </w:rPr>
            </w:pPr>
          </w:p>
        </w:tc>
        <w:tc>
          <w:tcPr>
            <w:tcW w:w="1205" w:type="dxa"/>
            <w:vMerge w:val="continue"/>
            <w:noWrap w:val="0"/>
            <w:vAlign w:val="center"/>
          </w:tcPr>
          <w:p w14:paraId="03511D48">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p>
        </w:tc>
        <w:tc>
          <w:tcPr>
            <w:tcW w:w="6088" w:type="dxa"/>
            <w:noWrap w:val="0"/>
            <w:vAlign w:val="center"/>
          </w:tcPr>
          <w:p w14:paraId="4058387E">
            <w:pPr>
              <w:pStyle w:val="3"/>
              <w:spacing w:before="0" w:after="0" w:line="336" w:lineRule="auto"/>
              <w:ind w:left="0" w:leftChars="0" w:firstLine="0" w:firstLineChars="0"/>
              <w:jc w:val="left"/>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根据投标人拟派本项目团队成员情况进行打分，包括但不限于是否拥有完善的创意（设计）制作团队，团队人员配置及职责分工是否明确，配备人员综合素质，包括职称、学历、经验是否满足采购需求等，由评委进行综合打分。</w:t>
            </w:r>
          </w:p>
          <w:p w14:paraId="4ACD98DC">
            <w:pPr>
              <w:pStyle w:val="3"/>
              <w:spacing w:before="0" w:after="0" w:line="336" w:lineRule="auto"/>
              <w:jc w:val="left"/>
              <w:rPr>
                <w:rFonts w:hint="eastAsia" w:ascii="仿宋_GB2312" w:hAnsi="仿宋_GB2312" w:eastAsia="仿宋_GB2312" w:cs="仿宋_GB2312"/>
                <w:b w:val="0"/>
                <w:bCs w:val="0"/>
                <w:kern w:val="2"/>
                <w:sz w:val="24"/>
                <w:szCs w:val="22"/>
                <w:highlight w:val="none"/>
                <w:lang w:val="en-US" w:eastAsia="zh-CN" w:bidi="ar-SA"/>
              </w:rPr>
            </w:pPr>
            <w:r>
              <w:rPr>
                <w:rFonts w:hint="eastAsia" w:ascii="仿宋_GB2312" w:hAnsi="仿宋_GB2312" w:eastAsia="仿宋_GB2312" w:cs="仿宋_GB2312"/>
                <w:b w:val="0"/>
                <w:bCs w:val="0"/>
                <w:kern w:val="2"/>
                <w:sz w:val="24"/>
                <w:szCs w:val="22"/>
                <w:highlight w:val="none"/>
                <w:lang w:val="en-US" w:eastAsia="zh-CN" w:bidi="ar-SA"/>
              </w:rPr>
              <w:t>（本项分值设置为6,5,4,3,2,1,0.5,0分)</w:t>
            </w:r>
          </w:p>
          <w:p w14:paraId="313F2F3C">
            <w:pPr>
              <w:pStyle w:val="3"/>
              <w:spacing w:before="0" w:after="0" w:line="336" w:lineRule="auto"/>
              <w:ind w:left="0" w:leftChars="0" w:firstLine="0" w:firstLineChars="0"/>
              <w:jc w:val="left"/>
              <w:rPr>
                <w:rFonts w:hint="eastAsia" w:ascii="仿宋_GB2312" w:hAnsi="仿宋_GB2312" w:eastAsia="仿宋_GB2312" w:cs="仿宋_GB2312"/>
                <w:lang w:val="en-US" w:eastAsia="zh-CN"/>
              </w:rPr>
            </w:pPr>
            <w:r>
              <w:rPr>
                <w:rFonts w:hint="eastAsia" w:ascii="仿宋_GB2312" w:hAnsi="仿宋_GB2312" w:eastAsia="仿宋_GB2312" w:cs="仿宋_GB2312"/>
                <w:b w:val="0"/>
                <w:bCs w:val="0"/>
                <w:kern w:val="2"/>
                <w:sz w:val="24"/>
                <w:szCs w:val="22"/>
                <w:highlight w:val="none"/>
                <w:lang w:val="en-US" w:eastAsia="zh-CN" w:bidi="ar-SA"/>
              </w:rPr>
              <w:t>证明材料：提供投标文件中出具的上述人员的相关证书及投标人为上述人员缴纳的社保证明材料复印件并加盖投标人公章。证明材料不完整或未提供的均不得分。</w:t>
            </w:r>
          </w:p>
        </w:tc>
        <w:tc>
          <w:tcPr>
            <w:tcW w:w="1221" w:type="dxa"/>
            <w:noWrap w:val="0"/>
            <w:vAlign w:val="center"/>
          </w:tcPr>
          <w:p w14:paraId="4E22F39E">
            <w:pPr>
              <w:spacing w:line="336" w:lineRule="auto"/>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6分</w:t>
            </w:r>
          </w:p>
        </w:tc>
      </w:tr>
    </w:tbl>
    <w:p w14:paraId="01A04886">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仿宋_GB2312" w:eastAsia="仿宋_GB2312" w:cs="仿宋_GB2312"/>
          <w:b/>
          <w:kern w:val="0"/>
          <w:sz w:val="24"/>
          <w:highlight w:val="none"/>
        </w:rPr>
        <w:t>备注：供应商编制响应文件时，建议按此目录（序号和内容）提供评审标准相应的商务技术资料。</w:t>
      </w:r>
    </w:p>
    <w:p w14:paraId="54F403D6">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30</w:t>
      </w:r>
      <w:r>
        <w:rPr>
          <w:rFonts w:hint="eastAsia" w:ascii="仿宋_GB2312" w:hAnsi="宋体" w:eastAsia="仿宋_GB2312" w:cs="Times New Roman"/>
          <w:b/>
          <w:bCs/>
          <w:iCs/>
          <w:sz w:val="24"/>
          <w:highlight w:val="none"/>
        </w:rPr>
        <w:t>分）</w:t>
      </w:r>
    </w:p>
    <w:p w14:paraId="64C75414">
      <w:pPr>
        <w:spacing w:line="336" w:lineRule="auto"/>
        <w:ind w:firstLine="480" w:firstLineChars="200"/>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2.2.1评标基准价：</w:t>
      </w:r>
      <w:r>
        <w:rPr>
          <w:rFonts w:hint="eastAsia" w:ascii="仿宋_GB2312" w:hAnsi="仿宋_GB2312" w:eastAsia="仿宋_GB2312" w:cs="仿宋_GB2312"/>
          <w:bCs/>
          <w:iCs/>
          <w:sz w:val="24"/>
          <w:highlight w:val="none"/>
          <w:lang w:val="en-US" w:eastAsia="zh-CN"/>
        </w:rPr>
        <w:t>满足招标文件要求且投标下浮率报价最高即投标价格最低的投标报价为评标基准价，其价格分为满分。</w:t>
      </w:r>
    </w:p>
    <w:p w14:paraId="06299090">
      <w:pPr>
        <w:spacing w:line="336" w:lineRule="auto"/>
        <w:ind w:firstLine="480" w:firstLineChars="200"/>
        <w:rPr>
          <w:rFonts w:hint="eastAsia" w:ascii="仿宋_GB2312" w:hAnsi="仿宋_GB2312" w:eastAsia="仿宋_GB2312" w:cs="仿宋_GB2312"/>
          <w:bCs/>
          <w:iCs/>
          <w:sz w:val="24"/>
          <w:highlight w:val="none"/>
        </w:rPr>
      </w:pPr>
      <w:r>
        <w:rPr>
          <w:rFonts w:hint="eastAsia" w:ascii="仿宋_GB2312" w:hAnsi="仿宋_GB2312" w:eastAsia="仿宋_GB2312" w:cs="仿宋_GB2312"/>
          <w:bCs/>
          <w:iCs/>
          <w:sz w:val="24"/>
          <w:highlight w:val="none"/>
        </w:rPr>
        <w:t>2.2.2其他供应商的价格分统一按照下列公式计算：</w:t>
      </w:r>
    </w:p>
    <w:p w14:paraId="630C3404">
      <w:pPr>
        <w:spacing w:line="336" w:lineRule="auto"/>
        <w:ind w:firstLine="480" w:firstLineChars="200"/>
        <w:rPr>
          <w:rFonts w:hint="eastAsia" w:ascii="仿宋_GB2312" w:hAnsi="仿宋_GB2312" w:eastAsia="仿宋_GB2312" w:cs="仿宋_GB2312"/>
          <w:bCs/>
          <w:iCs/>
          <w:sz w:val="24"/>
          <w:highlight w:val="none"/>
          <w:lang w:val="en-US" w:eastAsia="zh-CN"/>
        </w:rPr>
      </w:pPr>
      <w:r>
        <w:rPr>
          <w:rFonts w:hint="eastAsia" w:ascii="仿宋_GB2312" w:hAnsi="仿宋_GB2312" w:eastAsia="仿宋_GB2312" w:cs="仿宋_GB2312"/>
          <w:bCs/>
          <w:iCs/>
          <w:sz w:val="24"/>
          <w:highlight w:val="none"/>
          <w:lang w:val="en-US" w:eastAsia="zh-CN"/>
        </w:rPr>
        <w:t>投标报价得分=（1-评标基准价）／（1-投标报价）×价格权值×100</w:t>
      </w:r>
    </w:p>
    <w:p w14:paraId="5CEB7401">
      <w:pPr>
        <w:pStyle w:val="2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_GB2312" w:hAnsi="仿宋_GB2312" w:eastAsia="仿宋_GB2312" w:cs="仿宋_GB2312"/>
          <w:bCs/>
          <w:iCs/>
          <w:sz w:val="24"/>
          <w:highlight w:val="none"/>
          <w:lang w:val="en-US" w:eastAsia="zh-CN"/>
        </w:rPr>
        <w:t>即：投标报价得分=（1-评标基准价）／（1-投标报价）×30</w:t>
      </w:r>
    </w:p>
    <w:p w14:paraId="099C68A4">
      <w:pPr>
        <w:pStyle w:val="25"/>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8"/>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8"/>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2"/>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50"/>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2"/>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2"/>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2"/>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2"/>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3"/>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4"/>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4"/>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30"/>
        <w:gridCol w:w="1217"/>
        <w:gridCol w:w="1295"/>
        <w:gridCol w:w="1217"/>
        <w:gridCol w:w="1140"/>
        <w:gridCol w:w="1142"/>
        <w:gridCol w:w="1142"/>
        <w:gridCol w:w="1140"/>
      </w:tblGrid>
      <w:tr w14:paraId="7D8F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13B998">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72EBC9">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名称</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top"/>
          </w:tcPr>
          <w:p w14:paraId="14F8D17E">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2666415B">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服务范围</w:t>
            </w: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8F4854">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服务要求</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B7B409">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服务时间</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6DFF3A">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服务标准</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40F3A4AF">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1F7C967C">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服务人数</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9150A7">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服务单价</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9DF346">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p w14:paraId="082B93F5">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备注（如有）</w:t>
            </w:r>
          </w:p>
          <w:p w14:paraId="25CFA704">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p>
        </w:tc>
      </w:tr>
      <w:tr w14:paraId="0DD8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74CC6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A0ED8D">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11EBA4">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61E5AE">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41C577">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E0A2E5">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16599AA2">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F8EC5F">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D929D6">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55C1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C6634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C10E6">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ACB545">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A80FF9">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D5C760">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E80CED">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16BB5396">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07A252">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8B94F1">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0171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3D301E">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D5BDA4">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DADCD1">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A236BB">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E3167A">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F12744">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433FFFA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56D03A">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7B9D7A">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41E6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68B9C4">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CBC639">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F9D3E0">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DF10BD">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BDAD4B">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6DE0A4">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2039F757">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D12B2B">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4402F7">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22C8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7590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F4D183">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4882D3">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08391D">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6837EB">
            <w:pPr>
              <w:kinsoku/>
              <w:overflowPunct/>
              <w:topLinePunct w:val="0"/>
              <w:bidi w:val="0"/>
              <w:snapToGrid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170E65">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776E5948">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997F4B">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C92D49">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28BE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9DABF94">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w:t>
            </w:r>
            <w:r>
              <w:rPr>
                <w:rFonts w:hint="eastAsia" w:ascii="仿宋" w:hAnsi="仿宋" w:eastAsia="仿宋" w:cs="仿宋"/>
                <w:b/>
                <w:color w:val="auto"/>
                <w:sz w:val="24"/>
                <w:szCs w:val="24"/>
                <w:highlight w:val="none"/>
                <w:lang w:val="en-US" w:eastAsia="zh-CN"/>
              </w:rPr>
              <w:t>折扣率</w:t>
            </w:r>
            <w:r>
              <w:rPr>
                <w:rFonts w:hint="eastAsia" w:ascii="仿宋" w:hAnsi="仿宋" w:eastAsia="仿宋" w:cs="仿宋"/>
                <w:b/>
                <w:color w:val="auto"/>
                <w:sz w:val="24"/>
                <w:szCs w:val="24"/>
                <w:highlight w:val="none"/>
              </w:rPr>
              <w:t>（小写）</w:t>
            </w:r>
          </w:p>
        </w:tc>
        <w:tc>
          <w:tcPr>
            <w:tcW w:w="2504"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4C7B533B">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15B0787E">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r w14:paraId="7CB4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2F6EBEB">
            <w:pPr>
              <w:kinsoku/>
              <w:overflowPunct/>
              <w:topLinePunct w:val="0"/>
              <w:bidi w:val="0"/>
              <w:spacing w:beforeLines="0" w:afterLines="0"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w:t>
            </w:r>
            <w:r>
              <w:rPr>
                <w:rFonts w:hint="eastAsia" w:ascii="仿宋" w:hAnsi="仿宋" w:eastAsia="仿宋" w:cs="仿宋"/>
                <w:b/>
                <w:color w:val="auto"/>
                <w:sz w:val="24"/>
                <w:szCs w:val="24"/>
                <w:highlight w:val="none"/>
                <w:lang w:val="en-US" w:eastAsia="zh-CN"/>
              </w:rPr>
              <w:t>折扣率</w:t>
            </w:r>
            <w:r>
              <w:rPr>
                <w:rFonts w:hint="eastAsia" w:ascii="仿宋" w:hAnsi="仿宋" w:eastAsia="仿宋" w:cs="仿宋"/>
                <w:b/>
                <w:color w:val="auto"/>
                <w:sz w:val="24"/>
                <w:szCs w:val="24"/>
                <w:highlight w:val="none"/>
              </w:rPr>
              <w:t>（大写）</w:t>
            </w:r>
          </w:p>
        </w:tc>
        <w:tc>
          <w:tcPr>
            <w:tcW w:w="2504"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7675ECA2">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74C8201A">
            <w:pPr>
              <w:kinsoku/>
              <w:overflowPunct/>
              <w:topLinePunct w:val="0"/>
              <w:bidi w:val="0"/>
              <w:spacing w:beforeLines="0" w:afterLines="0" w:line="400" w:lineRule="exact"/>
              <w:jc w:val="center"/>
              <w:rPr>
                <w:rFonts w:hint="eastAsia" w:ascii="仿宋" w:hAnsi="仿宋" w:eastAsia="仿宋" w:cs="仿宋"/>
                <w:color w:val="auto"/>
                <w:sz w:val="24"/>
                <w:szCs w:val="24"/>
                <w:highlight w:val="none"/>
              </w:rPr>
            </w:pPr>
          </w:p>
        </w:tc>
      </w:tr>
    </w:tbl>
    <w:p w14:paraId="1EBED03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4"/>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2"/>
        <w:rPr>
          <w:rFonts w:hint="eastAsia" w:ascii="仿宋" w:hAnsi="仿宋" w:eastAsia="仿宋" w:cs="仿宋"/>
          <w:b/>
          <w:color w:val="000000" w:themeColor="text1"/>
          <w:sz w:val="24"/>
          <w:highlight w:val="none"/>
          <w14:textFill>
            <w14:solidFill>
              <w14:schemeClr w14:val="tx1"/>
            </w14:solidFill>
          </w14:textFill>
        </w:rPr>
      </w:pPr>
    </w:p>
    <w:p w14:paraId="0AD772D4">
      <w:pPr>
        <w:pStyle w:val="83"/>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2"/>
        <w:rPr>
          <w:rFonts w:hint="eastAsia" w:ascii="仿宋" w:hAnsi="仿宋" w:eastAsia="仿宋" w:cs="仿宋"/>
          <w:b/>
          <w:color w:val="000000" w:themeColor="text1"/>
          <w:sz w:val="24"/>
          <w:highlight w:val="none"/>
          <w14:textFill>
            <w14:solidFill>
              <w14:schemeClr w14:val="tx1"/>
            </w14:solidFill>
          </w14:textFill>
        </w:rPr>
      </w:pPr>
    </w:p>
    <w:p w14:paraId="520FAD18">
      <w:pPr>
        <w:pStyle w:val="83"/>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4"/>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4"/>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41"/>
      <w:framePr w:wrap="around" w:vAnchor="text" w:hAnchor="margin" w:xAlign="right" w:y="1"/>
      <w:rPr>
        <w:rStyle w:val="73"/>
      </w:rPr>
    </w:pPr>
    <w:r>
      <w:fldChar w:fldCharType="begin"/>
    </w:r>
    <w:r>
      <w:rPr>
        <w:rStyle w:val="73"/>
      </w:rPr>
      <w:instrText xml:space="preserve">PAGE  </w:instrText>
    </w:r>
    <w:r>
      <w:fldChar w:fldCharType="end"/>
    </w:r>
  </w:p>
  <w:p w14:paraId="4764E526">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31845147"/>
                          <w:bookmarkStart w:id="165" w:name="_Toc91899912"/>
                          <w:bookmarkStart w:id="166" w:name="_Toc164085800"/>
                          <w:bookmarkStart w:id="167" w:name="_Toc3611018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31845147"/>
                    <w:bookmarkStart w:id="165" w:name="_Toc91899912"/>
                    <w:bookmarkStart w:id="166" w:name="_Toc164085800"/>
                    <w:bookmarkStart w:id="167" w:name="_Toc3611018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41"/>
      <w:framePr w:wrap="around" w:vAnchor="text" w:hAnchor="margin" w:xAlign="right" w:y="1"/>
      <w:rPr>
        <w:rStyle w:val="73"/>
      </w:rPr>
    </w:pPr>
    <w:r>
      <w:fldChar w:fldCharType="begin"/>
    </w:r>
    <w:r>
      <w:rPr>
        <w:rStyle w:val="73"/>
      </w:rPr>
      <w:instrText xml:space="preserve">PAGE  </w:instrText>
    </w:r>
    <w:r>
      <w:fldChar w:fldCharType="end"/>
    </w:r>
  </w:p>
  <w:p w14:paraId="6271220D">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2"/>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SXHY-2025CG-1105</w:t>
    </w:r>
  </w:p>
  <w:p w14:paraId="0E777BF5">
    <w:pPr>
      <w:pStyle w:val="42"/>
      <w:pBdr>
        <w:bottom w:val="none" w:color="auto" w:sz="0" w:space="0"/>
      </w:pBdr>
      <w:tabs>
        <w:tab w:val="clear" w:pos="4153"/>
        <w:tab w:val="clear" w:pos="8306"/>
      </w:tabs>
      <w:jc w:val="both"/>
    </w:pPr>
  </w:p>
  <w:p w14:paraId="255E3615">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r>
      <w:rPr>
        <w:rFonts w:hint="eastAsia" w:ascii="仿宋" w:hAnsi="仿宋" w:eastAsia="仿宋" w:cs="仿宋"/>
        <w:lang w:val="en-US" w:eastAsia="zh-CN"/>
      </w:rPr>
      <w:t xml:space="preserve"> </w:t>
    </w:r>
  </w:p>
  <w:p w14:paraId="15628817">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2"/>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p>
  <w:p w14:paraId="5885573C">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SXHY-2025CG-1105</w:t>
    </w:r>
    <w:r>
      <w:rPr>
        <w:rFonts w:hint="eastAsia" w:ascii="仿宋" w:hAnsi="仿宋" w:eastAsia="仿宋" w:cs="仿宋"/>
        <w:lang w:val="en-US" w:eastAsia="zh-CN"/>
      </w:rPr>
      <w:t xml:space="preserve"> </w:t>
    </w:r>
  </w:p>
  <w:p w14:paraId="36BFA6BB">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2"/>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SXHY-2025CG-1105</w:t>
    </w:r>
  </w:p>
  <w:p w14:paraId="1AF32A37">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75DFFED"/>
    <w:rsid w:val="29506857"/>
    <w:rsid w:val="2B507DFE"/>
    <w:rsid w:val="2F0C0A43"/>
    <w:rsid w:val="30CD01D9"/>
    <w:rsid w:val="31010636"/>
    <w:rsid w:val="31182FFE"/>
    <w:rsid w:val="326F4556"/>
    <w:rsid w:val="34616311"/>
    <w:rsid w:val="37423F99"/>
    <w:rsid w:val="3C6B56F9"/>
    <w:rsid w:val="3D5921E7"/>
    <w:rsid w:val="3E6DF6DC"/>
    <w:rsid w:val="3FCFDA4A"/>
    <w:rsid w:val="3FFA350F"/>
    <w:rsid w:val="427E60E8"/>
    <w:rsid w:val="429047D0"/>
    <w:rsid w:val="442D31C1"/>
    <w:rsid w:val="46C13F1F"/>
    <w:rsid w:val="48EC13B2"/>
    <w:rsid w:val="4AEF30F9"/>
    <w:rsid w:val="4F4B3D85"/>
    <w:rsid w:val="500862DC"/>
    <w:rsid w:val="50D13A00"/>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B352EF8"/>
    <w:rsid w:val="6DBD08F7"/>
    <w:rsid w:val="6EBAEEF7"/>
    <w:rsid w:val="6FAC7FC4"/>
    <w:rsid w:val="6FC37AD4"/>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styleId="2">
    <w:name w:val="Normal Indent"/>
    <w:basedOn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3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4"/>
    <w:qFormat/>
    <w:uiPriority w:val="0"/>
    <w:pPr>
      <w:shd w:val="clear" w:color="auto" w:fill="000080"/>
    </w:pPr>
  </w:style>
  <w:style w:type="paragraph" w:styleId="19">
    <w:name w:val="annotation text"/>
    <w:basedOn w:val="1"/>
    <w:link w:val="345"/>
    <w:qFormat/>
    <w:uiPriority w:val="99"/>
    <w:pPr>
      <w:jc w:val="left"/>
    </w:pPr>
  </w:style>
  <w:style w:type="paragraph" w:styleId="20">
    <w:name w:val="Salutation"/>
    <w:basedOn w:val="1"/>
    <w:next w:val="1"/>
    <w:link w:val="299"/>
    <w:qFormat/>
    <w:uiPriority w:val="0"/>
    <w:rPr>
      <w:rFonts w:ascii="仿宋_GB2312" w:eastAsia="仿宋_GB2312"/>
      <w:sz w:val="28"/>
      <w:szCs w:val="20"/>
    </w:rPr>
  </w:style>
  <w:style w:type="paragraph" w:styleId="21">
    <w:name w:val="Body Text 3"/>
    <w:basedOn w:val="1"/>
    <w:link w:val="331"/>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31"/>
    <w:qFormat/>
    <w:uiPriority w:val="0"/>
    <w:pPr>
      <w:autoSpaceDE w:val="0"/>
      <w:autoSpaceDN w:val="0"/>
      <w:spacing w:line="360" w:lineRule="auto"/>
    </w:pPr>
    <w:rPr>
      <w:rFonts w:ascii="宋体" w:hAnsi="Arial" w:cs="Arial"/>
      <w:snapToGrid w:val="0"/>
      <w:sz w:val="24"/>
      <w:szCs w:val="21"/>
      <w:lang w:val="zh-CN"/>
    </w:rPr>
  </w:style>
  <w:style w:type="paragraph" w:customStyle="1" w:styleId="2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5">
    <w:name w:val="Body Text Indent"/>
    <w:basedOn w:val="1"/>
    <w:next w:val="26"/>
    <w:link w:val="266"/>
    <w:qFormat/>
    <w:uiPriority w:val="0"/>
    <w:pPr>
      <w:spacing w:line="480" w:lineRule="exact"/>
      <w:ind w:firstLine="480" w:firstLineChars="200"/>
    </w:pPr>
    <w:rPr>
      <w:rFonts w:ascii="宋体" w:hAnsi="宋体"/>
      <w:sz w:val="24"/>
    </w:rPr>
  </w:style>
  <w:style w:type="paragraph" w:styleId="26">
    <w:name w:val="Body Text First Indent 2"/>
    <w:basedOn w:val="25"/>
    <w:next w:val="23"/>
    <w:link w:val="123"/>
    <w:qFormat/>
    <w:uiPriority w:val="0"/>
    <w:pPr>
      <w:adjustRightInd/>
      <w:spacing w:after="120" w:line="240" w:lineRule="auto"/>
      <w:ind w:left="420" w:leftChars="200" w:firstLine="210"/>
    </w:pPr>
    <w:rPr>
      <w:sz w:val="21"/>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27"/>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3"/>
    <w:qFormat/>
    <w:uiPriority w:val="0"/>
    <w:pPr>
      <w:ind w:left="100" w:leftChars="2500"/>
    </w:pPr>
    <w:rPr>
      <w:rFonts w:ascii="宋体"/>
      <w:sz w:val="24"/>
      <w:szCs w:val="21"/>
      <w:lang w:val="zh-CN"/>
    </w:rPr>
  </w:style>
  <w:style w:type="paragraph" w:styleId="38">
    <w:name w:val="Body Text Indent 2"/>
    <w:basedOn w:val="1"/>
    <w:link w:val="309"/>
    <w:qFormat/>
    <w:uiPriority w:val="0"/>
    <w:pPr>
      <w:spacing w:line="360" w:lineRule="auto"/>
      <w:ind w:firstLine="601"/>
      <w:textAlignment w:val="baseline"/>
    </w:pPr>
    <w:rPr>
      <w:rFonts w:ascii="宋体"/>
      <w:kern w:val="0"/>
      <w:sz w:val="28"/>
      <w:szCs w:val="20"/>
    </w:rPr>
  </w:style>
  <w:style w:type="paragraph" w:styleId="39">
    <w:name w:val="endnote text"/>
    <w:basedOn w:val="1"/>
    <w:link w:val="932"/>
    <w:qFormat/>
    <w:uiPriority w:val="0"/>
    <w:rPr>
      <w:lang w:val="zh-CN"/>
    </w:rPr>
  </w:style>
  <w:style w:type="paragraph" w:styleId="40">
    <w:name w:val="Balloon Text"/>
    <w:basedOn w:val="1"/>
    <w:link w:val="190"/>
    <w:qFormat/>
    <w:uiPriority w:val="0"/>
    <w:rPr>
      <w:sz w:val="18"/>
      <w:szCs w:val="18"/>
    </w:rPr>
  </w:style>
  <w:style w:type="paragraph" w:styleId="41">
    <w:name w:val="footer"/>
    <w:basedOn w:val="1"/>
    <w:link w:val="384"/>
    <w:qFormat/>
    <w:uiPriority w:val="99"/>
    <w:pPr>
      <w:tabs>
        <w:tab w:val="center" w:pos="4153"/>
        <w:tab w:val="right" w:pos="8306"/>
      </w:tabs>
      <w:snapToGrid w:val="0"/>
      <w:jc w:val="left"/>
    </w:pPr>
    <w:rPr>
      <w:sz w:val="18"/>
      <w:szCs w:val="18"/>
    </w:rPr>
  </w:style>
  <w:style w:type="paragraph" w:styleId="42">
    <w:name w:val="header"/>
    <w:basedOn w:val="1"/>
    <w:link w:val="393"/>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
    <w:link w:val="311"/>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6"/>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3"/>
    <w:qFormat/>
    <w:uiPriority w:val="0"/>
    <w:pPr>
      <w:spacing w:after="120" w:line="480" w:lineRule="auto"/>
    </w:pPr>
  </w:style>
  <w:style w:type="paragraph" w:styleId="58">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19"/>
    <w:next w:val="19"/>
    <w:link w:val="98"/>
    <w:qFormat/>
    <w:uiPriority w:val="0"/>
    <w:rPr>
      <w:b/>
      <w:bCs/>
    </w:rPr>
  </w:style>
  <w:style w:type="paragraph" w:styleId="62">
    <w:name w:val="Body Text First Indent"/>
    <w:basedOn w:val="23"/>
    <w:next w:val="1"/>
    <w:link w:val="322"/>
    <w:qFormat/>
    <w:uiPriority w:val="0"/>
    <w:pPr>
      <w:ind w:firstLine="420"/>
    </w:pPr>
    <w:rPr>
      <w:rFonts w:hAnsi="Calibri" w:cs="Times New Roman"/>
      <w:snapToGrid/>
      <w:szCs w:val="20"/>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1">
    <w:name w:val="首行缩进"/>
    <w:basedOn w:val="1"/>
    <w:qFormat/>
    <w:uiPriority w:val="0"/>
    <w:pPr>
      <w:spacing w:line="360" w:lineRule="auto"/>
      <w:ind w:firstLine="480" w:firstLineChars="200"/>
    </w:pPr>
    <w:rPr>
      <w:rFonts w:ascii="宋体"/>
      <w:sz w:val="24"/>
      <w:szCs w:val="20"/>
    </w:rPr>
  </w:style>
  <w:style w:type="paragraph" w:customStyle="1" w:styleId="82">
    <w:name w:val="Default"/>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065a2bc-5607-4f88-bb9a-f4f6c7b4e0ea"/>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1"/>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29dca83e-cfa0-4d29-9006-28a1b752e563"/>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6"/>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48"/>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8"/>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4"/>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7"/>
    <w:qFormat/>
    <w:uiPriority w:val="0"/>
    <w:rPr>
      <w:rFonts w:ascii="宋体"/>
      <w:kern w:val="2"/>
      <w:sz w:val="24"/>
      <w:szCs w:val="21"/>
      <w:lang w:val="zh-CN"/>
    </w:rPr>
  </w:style>
  <w:style w:type="character" w:customStyle="1" w:styleId="184">
    <w:name w:val="标题 9 Char"/>
    <w:link w:val="11"/>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0"/>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2"/>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18"/>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1"/>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6"/>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b6bb7154-40a1-4532-be09-cdbace51fda5"/>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16"/>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List Paragraph"/>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5"/>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3"/>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0"/>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7"/>
    <w:qFormat/>
    <w:uiPriority w:val="9"/>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0"/>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8"/>
    <w:qFormat/>
    <w:uiPriority w:val="0"/>
    <w:rPr>
      <w:rFonts w:ascii="黑体" w:hAnsi="Courier New" w:eastAsia="黑体"/>
    </w:rPr>
  </w:style>
  <w:style w:type="character" w:customStyle="1" w:styleId="303">
    <w:name w:val="正文文本 2 Char1"/>
    <w:link w:val="57"/>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6"/>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9"/>
    <w:qFormat/>
    <w:uiPriority w:val="0"/>
    <w:rPr>
      <w:b/>
      <w:bCs/>
      <w:kern w:val="2"/>
      <w:sz w:val="24"/>
      <w:szCs w:val="24"/>
    </w:rPr>
  </w:style>
  <w:style w:type="character" w:customStyle="1" w:styleId="309">
    <w:name w:val="正文文本缩进 2 Char"/>
    <w:link w:val="38"/>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1"/>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6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6"/>
    <w:qFormat/>
    <w:uiPriority w:val="9"/>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1"/>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19"/>
    <w:qFormat/>
    <w:uiPriority w:val="99"/>
    <w:rPr>
      <w:kern w:val="2"/>
      <w:sz w:val="21"/>
      <w:szCs w:val="24"/>
    </w:rPr>
  </w:style>
  <w:style w:type="character" w:customStyle="1" w:styleId="346">
    <w:name w:val="签名 Char"/>
    <w:link w:val="43"/>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0"/>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4"/>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1"/>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2"/>
    <w:qFormat/>
    <w:uiPriority w:val="99"/>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156"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2"/>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6"/>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312"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spacing w:before="0" w:after="0"/>
      <w:outlineLvl w:val="5"/>
    </w:pPr>
  </w:style>
  <w:style w:type="paragraph" w:customStyle="1" w:styleId="475">
    <w:name w:val="5级标题"/>
    <w:basedOn w:val="476"/>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No Spacing"/>
    <w:basedOn w:val="1"/>
    <w:link w:val="933"/>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4"/>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5"/>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7"/>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5"/>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2"/>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6"/>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2"/>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156"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7"/>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7">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3"/>
    <w:qFormat/>
    <w:uiPriority w:val="0"/>
    <w:pPr>
      <w:tabs>
        <w:tab w:val="left" w:pos="840"/>
      </w:tabs>
      <w:adjustRightInd/>
      <w:ind w:left="840" w:hanging="420"/>
    </w:pPr>
  </w:style>
  <w:style w:type="paragraph" w:customStyle="1" w:styleId="627">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156"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spacing w:before="0" w:after="0"/>
      <w:ind w:left="1680"/>
      <w:outlineLvl w:val="2"/>
    </w:pPr>
  </w:style>
  <w:style w:type="paragraph" w:customStyle="1" w:styleId="659">
    <w:name w:val="章标题"/>
    <w:next w:val="641"/>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6"/>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38"/>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5"/>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1">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2"/>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5"/>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1"/>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8"/>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3"/>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9"/>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0"/>
    <w:qFormat/>
    <w:uiPriority w:val="0"/>
    <w:rPr>
      <w:b w:val="0"/>
      <w:sz w:val="20"/>
    </w:rPr>
  </w:style>
  <w:style w:type="paragraph" w:customStyle="1" w:styleId="8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4"/>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3"/>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9"/>
    <w:qFormat/>
    <w:uiPriority w:val="0"/>
    <w:rPr>
      <w:kern w:val="2"/>
      <w:sz w:val="21"/>
      <w:szCs w:val="24"/>
      <w:lang w:val="zh-CN"/>
    </w:rPr>
  </w:style>
  <w:style w:type="character" w:customStyle="1" w:styleId="933">
    <w:name w:val="无间隔 Char"/>
    <w:link w:val="484"/>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9"/>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79</Pages>
  <Words>17712</Words>
  <Characters>18875</Characters>
  <Paragraphs>1943</Paragraphs>
  <TotalTime>1</TotalTime>
  <ScaleCrop>false</ScaleCrop>
  <LinksUpToDate>false</LinksUpToDate>
  <CharactersWithSpaces>19177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2025-11-25T06:25:39Z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4BBDDC0A5F954EB2B68745B2036CC350_13</vt:lpwstr>
  </property>
  <property fmtid="{D5CDD505-2E9C-101B-9397-08002B2CF9AE}" pid="5" name="KSOTemplateDocerSaveRecord">
    <vt:lpwstr>eyJoZGlkIjoiY2M4Mzk5NTFhODQ4YjkzMDc3ZDU0MDQ5ZDU3ODM3NzEiLCJ1c2VySWQiOiIxMjMxMTY3ODgzIn0=</vt:lpwstr>
  </property>
</Properties>
</file>